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6F" w:rsidRDefault="00002540">
      <w:pPr>
        <w:ind w:firstLine="510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022F6F" w:rsidRDefault="00022F6F">
      <w:pPr>
        <w:ind w:firstLine="5103"/>
        <w:jc w:val="center"/>
        <w:rPr>
          <w:caps/>
          <w:sz w:val="28"/>
          <w:szCs w:val="28"/>
        </w:rPr>
      </w:pPr>
    </w:p>
    <w:p w:rsidR="00022F6F" w:rsidRDefault="00002540">
      <w:pPr>
        <w:ind w:firstLine="510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</w:t>
      </w:r>
    </w:p>
    <w:p w:rsidR="00022F6F" w:rsidRDefault="00002540">
      <w:pPr>
        <w:pStyle w:val="ConsTitle"/>
        <w:widowControl/>
        <w:ind w:right="0" w:firstLine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22F6F" w:rsidRDefault="00002540">
      <w:pPr>
        <w:pStyle w:val="ConsTitle"/>
        <w:widowControl/>
        <w:ind w:right="0" w:firstLine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Переясловского сельского поселения</w:t>
      </w:r>
    </w:p>
    <w:p w:rsidR="00022F6F" w:rsidRDefault="00002540">
      <w:pPr>
        <w:pStyle w:val="ConsTitle"/>
        <w:widowControl/>
        <w:ind w:right="0" w:firstLine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Брюховецкого района</w:t>
      </w:r>
    </w:p>
    <w:p w:rsidR="00022F6F" w:rsidRDefault="00002540">
      <w:pPr>
        <w:tabs>
          <w:tab w:val="left" w:pos="6100"/>
          <w:tab w:val="right" w:pos="9638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0C9">
        <w:rPr>
          <w:sz w:val="28"/>
          <w:szCs w:val="28"/>
        </w:rPr>
        <w:t>27.12.2024</w:t>
      </w:r>
      <w:r>
        <w:rPr>
          <w:sz w:val="28"/>
          <w:szCs w:val="28"/>
        </w:rPr>
        <w:t xml:space="preserve"> № </w:t>
      </w:r>
      <w:r w:rsidR="002630C9">
        <w:rPr>
          <w:sz w:val="28"/>
          <w:szCs w:val="28"/>
        </w:rPr>
        <w:t>162</w:t>
      </w:r>
      <w:bookmarkStart w:id="0" w:name="_GoBack"/>
      <w:bookmarkEnd w:id="0"/>
    </w:p>
    <w:p w:rsidR="00022F6F" w:rsidRDefault="00022F6F">
      <w:pPr>
        <w:tabs>
          <w:tab w:val="left" w:pos="6100"/>
          <w:tab w:val="right" w:pos="9638"/>
        </w:tabs>
        <w:rPr>
          <w:sz w:val="28"/>
          <w:szCs w:val="28"/>
        </w:rPr>
      </w:pPr>
    </w:p>
    <w:p w:rsidR="00022F6F" w:rsidRDefault="00022F6F">
      <w:pPr>
        <w:tabs>
          <w:tab w:val="left" w:pos="6100"/>
          <w:tab w:val="right" w:pos="9638"/>
        </w:tabs>
        <w:rPr>
          <w:sz w:val="28"/>
          <w:szCs w:val="28"/>
        </w:rPr>
      </w:pPr>
    </w:p>
    <w:p w:rsidR="00022F6F" w:rsidRDefault="00022F6F">
      <w:pPr>
        <w:jc w:val="center"/>
        <w:rPr>
          <w:sz w:val="28"/>
          <w:szCs w:val="28"/>
        </w:rPr>
      </w:pPr>
    </w:p>
    <w:p w:rsidR="00022F6F" w:rsidRDefault="0000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22F6F" w:rsidRDefault="0000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безопасности дорожного движения» Переясловского сельского поселения Брюховецкого района на 2024 год</w:t>
      </w:r>
    </w:p>
    <w:p w:rsidR="00022F6F" w:rsidRDefault="00022F6F">
      <w:pPr>
        <w:jc w:val="center"/>
        <w:rPr>
          <w:sz w:val="28"/>
          <w:szCs w:val="28"/>
        </w:rPr>
      </w:pPr>
    </w:p>
    <w:p w:rsidR="00022F6F" w:rsidRDefault="0000254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22F6F" w:rsidRDefault="000025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«Повышение безопасности дорожного движения» Переясловского сельского поселения Брюховецкого района </w:t>
      </w:r>
    </w:p>
    <w:p w:rsidR="00022F6F" w:rsidRDefault="000025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022F6F" w:rsidRDefault="00022F6F">
      <w:pPr>
        <w:jc w:val="center"/>
        <w:rPr>
          <w:sz w:val="28"/>
          <w:szCs w:val="28"/>
        </w:rPr>
      </w:pPr>
    </w:p>
    <w:p w:rsidR="00022F6F" w:rsidRDefault="00022F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6061"/>
      </w:tblGrid>
      <w:tr w:rsidR="00022F6F">
        <w:trPr>
          <w:trHeight w:val="1316"/>
        </w:trPr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022F6F" w:rsidRDefault="00022F6F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«Повышение безопасности дорожного движения» Переясловского сельского поселения Брюховецкого района на 2024 год (далее – Программа)</w:t>
            </w:r>
          </w:p>
        </w:tc>
      </w:tr>
      <w:tr w:rsidR="00022F6F">
        <w:trPr>
          <w:trHeight w:val="626"/>
        </w:trPr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022F6F">
        <w:trPr>
          <w:trHeight w:val="349"/>
        </w:trPr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22F6F">
        <w:trPr>
          <w:trHeight w:val="1672"/>
        </w:trPr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Переясловского сельского поселения Брюховецкого района</w:t>
            </w:r>
          </w:p>
        </w:tc>
      </w:tr>
      <w:tr w:rsidR="00022F6F">
        <w:trPr>
          <w:trHeight w:val="591"/>
        </w:trPr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и исполнители мероприятий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022F6F"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безопасность дорожного движения</w:t>
            </w:r>
          </w:p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условий дорожного движения;</w:t>
            </w:r>
          </w:p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защищенности пешеходов от дорожно-транспортных происшествий;</w:t>
            </w:r>
          </w:p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происшествий;</w:t>
            </w:r>
          </w:p>
          <w:p w:rsidR="00022F6F" w:rsidRDefault="00002540" w:rsidP="00623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снижение ущерба от дорожно-транспортных происшествий</w:t>
            </w:r>
            <w:r w:rsidR="006230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2F6F"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022F6F"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630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2630C9">
              <w:rPr>
                <w:sz w:val="28"/>
                <w:szCs w:val="28"/>
              </w:rPr>
              <w:t>503</w:t>
            </w:r>
            <w:r>
              <w:rPr>
                <w:sz w:val="28"/>
                <w:szCs w:val="28"/>
              </w:rPr>
              <w:t>,</w:t>
            </w:r>
            <w:r w:rsidR="002630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022F6F" w:rsidRDefault="00002540" w:rsidP="002630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- </w:t>
            </w:r>
            <w:r w:rsidR="002630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2630C9">
              <w:rPr>
                <w:sz w:val="28"/>
                <w:szCs w:val="28"/>
              </w:rPr>
              <w:t>503</w:t>
            </w:r>
            <w:r>
              <w:rPr>
                <w:sz w:val="28"/>
                <w:szCs w:val="28"/>
              </w:rPr>
              <w:t>,</w:t>
            </w:r>
            <w:r w:rsidR="002630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022F6F">
        <w:tc>
          <w:tcPr>
            <w:tcW w:w="3793" w:type="dxa"/>
          </w:tcPr>
          <w:p w:rsidR="00022F6F" w:rsidRDefault="000025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061" w:type="dxa"/>
          </w:tcPr>
          <w:p w:rsidR="00022F6F" w:rsidRDefault="0000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</w:t>
            </w:r>
          </w:p>
        </w:tc>
      </w:tr>
    </w:tbl>
    <w:p w:rsidR="00022F6F" w:rsidRDefault="00022F6F">
      <w:pPr>
        <w:jc w:val="center"/>
        <w:rPr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022F6F" w:rsidRDefault="00022F6F">
      <w:pPr>
        <w:jc w:val="both"/>
        <w:rPr>
          <w:sz w:val="28"/>
          <w:szCs w:val="28"/>
        </w:rPr>
      </w:pPr>
    </w:p>
    <w:p w:rsidR="00022F6F" w:rsidRDefault="0000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Программы обусловлено  повышением интенсивности дорожного движения на территории Переясловского сельского поселения.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Дорожные  покрытия на многих улицах разбиты. Отсутствуют дорожные знаки. Тротуарные покрытия разрушены на многих участках, пешеходы идут по дорогам.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Низкая степень защищенности участников дорожного движения на улицах и дорогах района, по-прежнему, объясняется рядом факторов, основными из которых являются: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массовое несоблюдение норм безопасности дорожного движения его участниками; 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недостаточная подготовка водителей в учебных организациях;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отсутствие должной ответственности у некоторых руководителей в сфере транспорта, на большинстве автотранспортных предприятий ликвидированы службы безопасности дорожного движения.</w:t>
      </w:r>
    </w:p>
    <w:p w:rsidR="00022F6F" w:rsidRDefault="00002540">
      <w:pPr>
        <w:tabs>
          <w:tab w:val="left" w:pos="780"/>
          <w:tab w:val="left" w:pos="4350"/>
        </w:tabs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 целях улучшения ситуации на улицах и дорогах района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022F6F" w:rsidRDefault="00022F6F">
      <w:pPr>
        <w:ind w:firstLine="709"/>
        <w:jc w:val="both"/>
        <w:rPr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цели, задачи, сроки и этапы реализации Программы</w:t>
      </w:r>
    </w:p>
    <w:p w:rsidR="00022F6F" w:rsidRDefault="00022F6F">
      <w:pPr>
        <w:jc w:val="both"/>
        <w:rPr>
          <w:b/>
          <w:bCs/>
          <w:sz w:val="28"/>
          <w:szCs w:val="28"/>
        </w:rPr>
      </w:pPr>
    </w:p>
    <w:p w:rsidR="00022F6F" w:rsidRDefault="0000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безопасность дорожного движения.</w:t>
      </w:r>
    </w:p>
    <w:p w:rsidR="00022F6F" w:rsidRDefault="0000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 -  улучшение условий дорожного движения</w:t>
      </w:r>
    </w:p>
    <w:p w:rsidR="00022F6F" w:rsidRDefault="0000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защищенности пешеходов от дорожно-транспортных происшествий, в том числе среди учащейся молодёжи, оборудование наиболее опасных участков улично-дорожной сети искусственным освещением, тротуарами, по мере необходимости пешеходными ограждениями и переходами, ежегодным обновлением линий дорожной разметки, установлением (заменой) дорожных знаков, </w:t>
      </w:r>
    </w:p>
    <w:p w:rsidR="00022F6F" w:rsidRDefault="0000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дорожно-транспортных происшествий;</w:t>
      </w:r>
    </w:p>
    <w:p w:rsidR="00022F6F" w:rsidRDefault="00002540" w:rsidP="00623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ущерба от дорожно-транспортных происшествий</w:t>
      </w:r>
      <w:r w:rsidR="006230D5">
        <w:rPr>
          <w:sz w:val="28"/>
          <w:szCs w:val="28"/>
        </w:rPr>
        <w:t>.</w:t>
      </w:r>
    </w:p>
    <w:p w:rsidR="00022F6F" w:rsidRDefault="00002540">
      <w:pPr>
        <w:ind w:firstLineChars="125" w:firstLine="35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022F6F" w:rsidRDefault="00022F6F">
      <w:pPr>
        <w:ind w:firstLineChars="125" w:firstLine="350"/>
        <w:jc w:val="both"/>
        <w:rPr>
          <w:rFonts w:eastAsia="SimSun"/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Мероприятия муниципальной программы «</w:t>
      </w:r>
      <w:r>
        <w:rPr>
          <w:b/>
          <w:bCs/>
          <w:sz w:val="28"/>
          <w:szCs w:val="28"/>
        </w:rPr>
        <w:t>Повышение безопасности дорожного движения» Переясловского сельского поселения Брюховецкого района на 2024 год</w:t>
      </w:r>
    </w:p>
    <w:tbl>
      <w:tblPr>
        <w:tblStyle w:val="a9"/>
        <w:tblpPr w:leftFromText="180" w:rightFromText="180" w:vertAnchor="text" w:horzAnchor="page" w:tblpX="1745" w:tblpY="32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2089"/>
        <w:gridCol w:w="1440"/>
        <w:gridCol w:w="1028"/>
        <w:gridCol w:w="993"/>
        <w:gridCol w:w="1459"/>
        <w:gridCol w:w="2246"/>
      </w:tblGrid>
      <w:tr w:rsidR="00022F6F">
        <w:trPr>
          <w:trHeight w:val="297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Наименования 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Муниципальный заказчик/исполнитель</w:t>
            </w:r>
          </w:p>
        </w:tc>
      </w:tr>
      <w:tr w:rsidR="00022F6F">
        <w:trPr>
          <w:trHeight w:val="32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rPr>
          <w:trHeight w:val="23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t>Приобретение и установка дорожных знаков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2F6F" w:rsidRDefault="00002540">
            <w:pPr>
              <w:widowControl/>
              <w:jc w:val="center"/>
              <w:rPr>
                <w:color w:val="000000"/>
              </w:rPr>
            </w:pPr>
            <w:r>
              <w:t>безопасность дорожного движения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2F6F" w:rsidRDefault="0000254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Переясловского сельского поселения Брюховецкого района</w:t>
            </w: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t>Обновление линий дорожной разметки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1 082,5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1 082,5</w:t>
            </w:r>
          </w:p>
        </w:tc>
        <w:tc>
          <w:tcPr>
            <w:tcW w:w="14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t>Приобретение песка и соли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002540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630C9">
              <w:rPr>
                <w:color w:val="000000"/>
              </w:rPr>
              <w:t>55</w:t>
            </w:r>
            <w:r>
              <w:rPr>
                <w:color w:val="000000"/>
              </w:rPr>
              <w:t>,0</w:t>
            </w:r>
          </w:p>
        </w:tc>
        <w:tc>
          <w:tcPr>
            <w:tcW w:w="14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t>Уборка дорог от снежных заносов, посыпка дорог песчано-солевой смесью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002540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002540">
              <w:rPr>
                <w:color w:val="000000"/>
              </w:rPr>
              <w:t>,0</w:t>
            </w:r>
          </w:p>
        </w:tc>
        <w:tc>
          <w:tcPr>
            <w:tcW w:w="1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освещения улиц сельского поселения (повышение уровня безопасности жителей)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Администрация Переясловского сельского поселения Брюховецкого района</w:t>
            </w: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Техническое обслуживание и ремонт </w:t>
            </w:r>
            <w:proofErr w:type="gramStart"/>
            <w:r>
              <w:rPr>
                <w:rFonts w:eastAsia="Calibri"/>
                <w:lang w:eastAsia="en-US"/>
              </w:rPr>
              <w:t>уличного</w:t>
            </w:r>
            <w:proofErr w:type="gramEnd"/>
            <w:r>
              <w:rPr>
                <w:rFonts w:eastAsia="Calibri"/>
                <w:lang w:eastAsia="en-US"/>
              </w:rPr>
              <w:t xml:space="preserve"> освещение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595,3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595,3</w:t>
            </w:r>
          </w:p>
        </w:tc>
        <w:tc>
          <w:tcPr>
            <w:tcW w:w="14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  <w:tc>
          <w:tcPr>
            <w:tcW w:w="2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22F6F">
            <w:pPr>
              <w:widowControl/>
              <w:rPr>
                <w:color w:val="000000"/>
              </w:rPr>
            </w:pPr>
          </w:p>
        </w:tc>
      </w:tr>
      <w:tr w:rsidR="00022F6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Приобретение и установка светофоров (независимых принудительных устройств)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002540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2630C9" w:rsidP="002630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002540">
              <w:rPr>
                <w:color w:val="000000"/>
              </w:rPr>
              <w:t>,0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t>безопасность дорожного движения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F6F" w:rsidRDefault="0000254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022F6F" w:rsidRDefault="00022F6F">
      <w:pPr>
        <w:jc w:val="both"/>
        <w:rPr>
          <w:b/>
          <w:bCs/>
          <w:sz w:val="28"/>
          <w:szCs w:val="28"/>
        </w:rPr>
      </w:pPr>
    </w:p>
    <w:p w:rsidR="00022F6F" w:rsidRDefault="006230D5" w:rsidP="006230D5">
      <w:pPr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>Возможно перераспределение финансовых сре</w:t>
      </w:r>
      <w:proofErr w:type="gramStart"/>
      <w:r w:rsidRPr="006230D5">
        <w:rPr>
          <w:sz w:val="28"/>
          <w:szCs w:val="28"/>
        </w:rPr>
        <w:t>дств в р</w:t>
      </w:r>
      <w:proofErr w:type="gramEnd"/>
      <w:r w:rsidRPr="006230D5"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</w:t>
      </w:r>
      <w:r>
        <w:rPr>
          <w:sz w:val="28"/>
          <w:szCs w:val="28"/>
        </w:rPr>
        <w:t>.</w:t>
      </w:r>
    </w:p>
    <w:p w:rsidR="00022F6F" w:rsidRDefault="00022F6F">
      <w:pPr>
        <w:jc w:val="both"/>
        <w:rPr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ресурсного обеспечения Программы</w:t>
      </w:r>
    </w:p>
    <w:p w:rsidR="00022F6F" w:rsidRDefault="00022F6F">
      <w:pPr>
        <w:jc w:val="both"/>
        <w:rPr>
          <w:sz w:val="28"/>
          <w:szCs w:val="28"/>
        </w:rPr>
      </w:pPr>
    </w:p>
    <w:p w:rsidR="006230D5" w:rsidRPr="006230D5" w:rsidRDefault="006230D5" w:rsidP="006230D5">
      <w:pPr>
        <w:ind w:firstLine="708"/>
        <w:jc w:val="both"/>
        <w:rPr>
          <w:sz w:val="28"/>
          <w:szCs w:val="28"/>
        </w:rPr>
      </w:pPr>
      <w:r w:rsidRPr="006230D5">
        <w:rPr>
          <w:sz w:val="28"/>
          <w:szCs w:val="28"/>
        </w:rPr>
        <w:t xml:space="preserve">Реализация муниципальной программы предусматривается за счет средств бюджета Переясловского сельского поселения Брюховецкого района. </w:t>
      </w:r>
      <w:r w:rsidRPr="006230D5">
        <w:rPr>
          <w:sz w:val="28"/>
          <w:szCs w:val="28"/>
        </w:rPr>
        <w:lastRenderedPageBreak/>
        <w:t>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6230D5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6230D5" w:rsidRPr="006230D5" w:rsidTr="00871FFD">
        <w:trPr>
          <w:trHeight w:val="570"/>
        </w:trPr>
        <w:tc>
          <w:tcPr>
            <w:tcW w:w="959" w:type="dxa"/>
            <w:vMerge w:val="restart"/>
            <w:hideMark/>
          </w:tcPr>
          <w:p w:rsidR="006230D5" w:rsidRPr="006230D5" w:rsidRDefault="006230D5" w:rsidP="006230D5">
            <w:pPr>
              <w:jc w:val="center"/>
            </w:pPr>
            <w:r w:rsidRPr="006230D5">
              <w:t xml:space="preserve">№ </w:t>
            </w:r>
          </w:p>
          <w:p w:rsidR="006230D5" w:rsidRPr="006230D5" w:rsidRDefault="006230D5" w:rsidP="006230D5">
            <w:pPr>
              <w:jc w:val="center"/>
            </w:pPr>
            <w:proofErr w:type="gramStart"/>
            <w:r w:rsidRPr="006230D5">
              <w:t>п</w:t>
            </w:r>
            <w:proofErr w:type="gramEnd"/>
            <w:r w:rsidRPr="006230D5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6230D5" w:rsidRPr="006230D5" w:rsidRDefault="006230D5" w:rsidP="006230D5">
            <w:pPr>
              <w:jc w:val="center"/>
            </w:pPr>
            <w:r w:rsidRPr="006230D5">
              <w:t>Объем финансирования,</w:t>
            </w:r>
          </w:p>
          <w:p w:rsidR="006230D5" w:rsidRPr="006230D5" w:rsidRDefault="006230D5" w:rsidP="006230D5">
            <w:pPr>
              <w:jc w:val="center"/>
            </w:pPr>
            <w:r w:rsidRPr="006230D5"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6230D5" w:rsidRPr="006230D5" w:rsidRDefault="006230D5" w:rsidP="006230D5">
            <w:pPr>
              <w:jc w:val="center"/>
            </w:pPr>
            <w:r w:rsidRPr="006230D5">
              <w:t>Всего</w:t>
            </w:r>
          </w:p>
        </w:tc>
      </w:tr>
      <w:tr w:rsidR="006230D5" w:rsidRPr="006230D5" w:rsidTr="00871FFD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6230D5" w:rsidRPr="006230D5" w:rsidRDefault="006230D5" w:rsidP="006230D5"/>
        </w:tc>
        <w:tc>
          <w:tcPr>
            <w:tcW w:w="6520" w:type="dxa"/>
            <w:vMerge/>
            <w:vAlign w:val="center"/>
            <w:hideMark/>
          </w:tcPr>
          <w:p w:rsidR="006230D5" w:rsidRPr="006230D5" w:rsidRDefault="006230D5" w:rsidP="006230D5"/>
        </w:tc>
        <w:tc>
          <w:tcPr>
            <w:tcW w:w="2268" w:type="dxa"/>
            <w:vMerge/>
            <w:vAlign w:val="center"/>
            <w:hideMark/>
          </w:tcPr>
          <w:p w:rsidR="006230D5" w:rsidRPr="006230D5" w:rsidRDefault="006230D5" w:rsidP="006230D5"/>
        </w:tc>
      </w:tr>
      <w:tr w:rsidR="006230D5" w:rsidRPr="006230D5" w:rsidTr="00871FFD">
        <w:tc>
          <w:tcPr>
            <w:tcW w:w="959" w:type="dxa"/>
            <w:hideMark/>
          </w:tcPr>
          <w:p w:rsidR="006230D5" w:rsidRPr="006230D5" w:rsidRDefault="006230D5" w:rsidP="006230D5">
            <w:r w:rsidRPr="006230D5">
              <w:t>1</w:t>
            </w:r>
          </w:p>
        </w:tc>
        <w:tc>
          <w:tcPr>
            <w:tcW w:w="6520" w:type="dxa"/>
            <w:hideMark/>
          </w:tcPr>
          <w:p w:rsidR="006230D5" w:rsidRPr="006230D5" w:rsidRDefault="006230D5" w:rsidP="006230D5">
            <w:r w:rsidRPr="006230D5">
              <w:t>Местный бюджет</w:t>
            </w:r>
          </w:p>
        </w:tc>
        <w:tc>
          <w:tcPr>
            <w:tcW w:w="2268" w:type="dxa"/>
            <w:vAlign w:val="center"/>
          </w:tcPr>
          <w:p w:rsidR="006230D5" w:rsidRPr="006230D5" w:rsidRDefault="002630C9" w:rsidP="002630C9">
            <w:r>
              <w:t>3</w:t>
            </w:r>
            <w:r w:rsidR="006230D5">
              <w:t> </w:t>
            </w:r>
            <w:r>
              <w:t>503</w:t>
            </w:r>
            <w:r w:rsidR="006230D5">
              <w:t>,</w:t>
            </w:r>
            <w:r>
              <w:t>3</w:t>
            </w:r>
          </w:p>
        </w:tc>
      </w:tr>
      <w:tr w:rsidR="006230D5" w:rsidRPr="006230D5" w:rsidTr="00871FFD">
        <w:tc>
          <w:tcPr>
            <w:tcW w:w="959" w:type="dxa"/>
          </w:tcPr>
          <w:p w:rsidR="006230D5" w:rsidRPr="006230D5" w:rsidRDefault="006230D5" w:rsidP="006230D5"/>
        </w:tc>
        <w:tc>
          <w:tcPr>
            <w:tcW w:w="6520" w:type="dxa"/>
            <w:hideMark/>
          </w:tcPr>
          <w:p w:rsidR="006230D5" w:rsidRPr="006230D5" w:rsidRDefault="006230D5" w:rsidP="006230D5">
            <w:r w:rsidRPr="006230D5">
              <w:t>Итого</w:t>
            </w:r>
          </w:p>
        </w:tc>
        <w:tc>
          <w:tcPr>
            <w:tcW w:w="2268" w:type="dxa"/>
            <w:vAlign w:val="center"/>
          </w:tcPr>
          <w:p w:rsidR="006230D5" w:rsidRPr="006230D5" w:rsidRDefault="002630C9" w:rsidP="002630C9">
            <w:r>
              <w:t>3</w:t>
            </w:r>
            <w:r w:rsidR="006230D5">
              <w:t> </w:t>
            </w:r>
            <w:r>
              <w:t>503</w:t>
            </w:r>
            <w:r w:rsidR="006230D5">
              <w:t>,</w:t>
            </w:r>
            <w:r>
              <w:t>3</w:t>
            </w:r>
          </w:p>
        </w:tc>
      </w:tr>
    </w:tbl>
    <w:p w:rsidR="00022F6F" w:rsidRDefault="00022F6F">
      <w:pPr>
        <w:ind w:firstLineChars="125" w:firstLine="350"/>
        <w:jc w:val="both"/>
        <w:rPr>
          <w:rFonts w:eastAsia="SimSun"/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Ожидаемые результаты реализации Программы</w:t>
      </w:r>
    </w:p>
    <w:p w:rsidR="00022F6F" w:rsidRDefault="00022F6F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6230D5" w:rsidRPr="006230D5" w:rsidTr="00871FFD">
        <w:trPr>
          <w:trHeight w:val="1104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 xml:space="preserve">№ </w:t>
            </w:r>
            <w:proofErr w:type="gramStart"/>
            <w:r w:rsidRPr="006230D5">
              <w:t>п</w:t>
            </w:r>
            <w:proofErr w:type="gramEnd"/>
            <w:r w:rsidRPr="006230D5">
              <w:t>/п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Результат реализации</w:t>
            </w:r>
          </w:p>
          <w:p w:rsidR="006230D5" w:rsidRPr="006230D5" w:rsidRDefault="006230D5" w:rsidP="006230D5">
            <w:pPr>
              <w:jc w:val="both"/>
            </w:pPr>
            <w:r w:rsidRPr="006230D5">
              <w:t>Программы</w:t>
            </w:r>
          </w:p>
        </w:tc>
      </w:tr>
      <w:tr w:rsidR="006230D5" w:rsidRPr="006230D5" w:rsidTr="00871FFD">
        <w:trPr>
          <w:trHeight w:val="450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1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rPr>
                <w:bCs/>
              </w:rPr>
              <w:t>Количество установленных дорожных знаков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proofErr w:type="spellStart"/>
            <w:proofErr w:type="gramStart"/>
            <w:r w:rsidRPr="006230D5"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33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2630C9" w:rsidP="002630C9">
            <w:pPr>
              <w:jc w:val="both"/>
            </w:pPr>
            <w:r>
              <w:t>26</w:t>
            </w:r>
          </w:p>
        </w:tc>
      </w:tr>
      <w:tr w:rsidR="006230D5" w:rsidRPr="006230D5" w:rsidTr="006230D5">
        <w:trPr>
          <w:trHeight w:val="540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2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  <w:rPr>
                <w:bCs/>
              </w:rPr>
            </w:pPr>
            <w:r w:rsidRPr="006230D5">
              <w:rPr>
                <w:bCs/>
              </w:rPr>
              <w:t>Количество дорожно-транспортных происшествий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proofErr w:type="spellStart"/>
            <w:proofErr w:type="gramStart"/>
            <w:r w:rsidRPr="006230D5"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5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 w:rsidRPr="006230D5">
              <w:t>5</w:t>
            </w:r>
          </w:p>
        </w:tc>
      </w:tr>
      <w:tr w:rsidR="006230D5" w:rsidRPr="006230D5" w:rsidTr="006230D5">
        <w:trPr>
          <w:trHeight w:val="135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3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  <w:rPr>
                <w:bCs/>
              </w:rPr>
            </w:pPr>
            <w:r w:rsidRPr="006230D5">
              <w:rPr>
                <w:bCs/>
              </w:rPr>
              <w:t>Количество пострадавших в ДТП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3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3</w:t>
            </w:r>
          </w:p>
        </w:tc>
      </w:tr>
      <w:tr w:rsidR="006230D5" w:rsidRPr="006230D5" w:rsidTr="006230D5">
        <w:trPr>
          <w:trHeight w:val="135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4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6230D5">
              <w:rPr>
                <w:bCs/>
              </w:rPr>
              <w:t>свещения улиц сельского поселения (повышение уровня безопасности жителей в вечерние часы за счет)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%</w:t>
            </w:r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80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80</w:t>
            </w:r>
          </w:p>
        </w:tc>
      </w:tr>
      <w:tr w:rsidR="006230D5" w:rsidRPr="006230D5" w:rsidTr="00871FFD">
        <w:trPr>
          <w:trHeight w:val="165"/>
        </w:trPr>
        <w:tc>
          <w:tcPr>
            <w:tcW w:w="674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5</w:t>
            </w:r>
          </w:p>
        </w:tc>
        <w:tc>
          <w:tcPr>
            <w:tcW w:w="4796" w:type="dxa"/>
            <w:shd w:val="clear" w:color="auto" w:fill="auto"/>
          </w:tcPr>
          <w:p w:rsidR="006230D5" w:rsidRPr="006230D5" w:rsidRDefault="006230D5" w:rsidP="006230D5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6230D5">
              <w:rPr>
                <w:bCs/>
              </w:rPr>
              <w:t>амена торсады, ламп, светильников</w:t>
            </w:r>
          </w:p>
        </w:tc>
        <w:tc>
          <w:tcPr>
            <w:tcW w:w="129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%</w:t>
            </w:r>
          </w:p>
        </w:tc>
        <w:tc>
          <w:tcPr>
            <w:tcW w:w="1830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80</w:t>
            </w:r>
          </w:p>
        </w:tc>
        <w:tc>
          <w:tcPr>
            <w:tcW w:w="1262" w:type="dxa"/>
            <w:shd w:val="clear" w:color="auto" w:fill="auto"/>
          </w:tcPr>
          <w:p w:rsidR="006230D5" w:rsidRPr="006230D5" w:rsidRDefault="006230D5" w:rsidP="006230D5">
            <w:pPr>
              <w:jc w:val="both"/>
            </w:pPr>
            <w:r>
              <w:t>80</w:t>
            </w:r>
          </w:p>
        </w:tc>
      </w:tr>
    </w:tbl>
    <w:p w:rsidR="00022F6F" w:rsidRDefault="00022F6F">
      <w:pPr>
        <w:jc w:val="both"/>
        <w:rPr>
          <w:bCs/>
          <w:sz w:val="28"/>
          <w:szCs w:val="28"/>
        </w:rPr>
      </w:pPr>
    </w:p>
    <w:p w:rsidR="00022F6F" w:rsidRDefault="000025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022F6F" w:rsidRDefault="00022F6F">
      <w:pPr>
        <w:jc w:val="both"/>
        <w:rPr>
          <w:rFonts w:eastAsia="SimSun"/>
          <w:sz w:val="28"/>
          <w:szCs w:val="28"/>
        </w:rPr>
      </w:pP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 xml:space="preserve">Комплексное управление и </w:t>
      </w:r>
      <w:proofErr w:type="gramStart"/>
      <w:r w:rsidRPr="006230D5">
        <w:rPr>
          <w:sz w:val="28"/>
          <w:szCs w:val="28"/>
        </w:rPr>
        <w:t>контроль за</w:t>
      </w:r>
      <w:proofErr w:type="gramEnd"/>
      <w:r w:rsidRPr="006230D5"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поселения.</w:t>
      </w: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>Текущий контроль, мониторинг и анализ хода реализации Программы осуществляет заместителем главы Переясловского сельского поселения Брюховецкого района.</w:t>
      </w:r>
    </w:p>
    <w:p w:rsidR="006230D5" w:rsidRP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lastRenderedPageBreak/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 w:rsidRPr="006230D5">
        <w:rPr>
          <w:sz w:val="28"/>
          <w:szCs w:val="28"/>
        </w:rPr>
        <w:t>согласно Программы</w:t>
      </w:r>
      <w:proofErr w:type="gramEnd"/>
      <w:r w:rsidRPr="006230D5">
        <w:rPr>
          <w:sz w:val="28"/>
          <w:szCs w:val="28"/>
        </w:rPr>
        <w:t>.</w:t>
      </w:r>
    </w:p>
    <w:p w:rsidR="00022F6F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0D5">
        <w:rPr>
          <w:sz w:val="28"/>
          <w:szCs w:val="28"/>
        </w:rPr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0D5" w:rsidRDefault="006230D5" w:rsidP="00623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F6F" w:rsidRDefault="00022F6F">
      <w:pPr>
        <w:rPr>
          <w:sz w:val="28"/>
          <w:szCs w:val="28"/>
        </w:rPr>
      </w:pPr>
    </w:p>
    <w:p w:rsidR="00022F6F" w:rsidRDefault="00002540">
      <w:pPr>
        <w:rPr>
          <w:sz w:val="28"/>
          <w:szCs w:val="28"/>
        </w:rPr>
      </w:pPr>
      <w:r>
        <w:rPr>
          <w:sz w:val="28"/>
          <w:szCs w:val="28"/>
        </w:rPr>
        <w:t>Зам. главы Переясловского</w:t>
      </w:r>
    </w:p>
    <w:p w:rsidR="00022F6F" w:rsidRDefault="000025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22F6F" w:rsidRDefault="00002540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022F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D2" w:rsidRDefault="003D1BD2">
      <w:r>
        <w:separator/>
      </w:r>
    </w:p>
  </w:endnote>
  <w:endnote w:type="continuationSeparator" w:id="0">
    <w:p w:rsidR="003D1BD2" w:rsidRDefault="003D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D2" w:rsidRDefault="003D1BD2">
      <w:r>
        <w:separator/>
      </w:r>
    </w:p>
  </w:footnote>
  <w:footnote w:type="continuationSeparator" w:id="0">
    <w:p w:rsidR="003D1BD2" w:rsidRDefault="003D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627125"/>
    </w:sdtPr>
    <w:sdtEndPr/>
    <w:sdtContent>
      <w:p w:rsidR="00022F6F" w:rsidRDefault="000025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C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1EF96"/>
    <w:multiLevelType w:val="singleLevel"/>
    <w:tmpl w:val="FF31EF9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AE"/>
    <w:rsid w:val="00002540"/>
    <w:rsid w:val="00022742"/>
    <w:rsid w:val="00022F6F"/>
    <w:rsid w:val="00046BC5"/>
    <w:rsid w:val="0005150E"/>
    <w:rsid w:val="00065B92"/>
    <w:rsid w:val="00071914"/>
    <w:rsid w:val="00073A1B"/>
    <w:rsid w:val="00076890"/>
    <w:rsid w:val="00090648"/>
    <w:rsid w:val="000E24E4"/>
    <w:rsid w:val="001149F6"/>
    <w:rsid w:val="00125CDC"/>
    <w:rsid w:val="00151720"/>
    <w:rsid w:val="0015183D"/>
    <w:rsid w:val="001B2D12"/>
    <w:rsid w:val="001F3AE8"/>
    <w:rsid w:val="002518C3"/>
    <w:rsid w:val="002630C9"/>
    <w:rsid w:val="00270598"/>
    <w:rsid w:val="002B5960"/>
    <w:rsid w:val="002B622C"/>
    <w:rsid w:val="003406F0"/>
    <w:rsid w:val="0035491A"/>
    <w:rsid w:val="00394A38"/>
    <w:rsid w:val="003D1BD2"/>
    <w:rsid w:val="003E3691"/>
    <w:rsid w:val="00432984"/>
    <w:rsid w:val="00451B9C"/>
    <w:rsid w:val="00470863"/>
    <w:rsid w:val="004A0147"/>
    <w:rsid w:val="004F5018"/>
    <w:rsid w:val="00517D33"/>
    <w:rsid w:val="00540048"/>
    <w:rsid w:val="005F7EE9"/>
    <w:rsid w:val="00607B48"/>
    <w:rsid w:val="00615884"/>
    <w:rsid w:val="006230D5"/>
    <w:rsid w:val="0069242D"/>
    <w:rsid w:val="006D7BA2"/>
    <w:rsid w:val="00705FA9"/>
    <w:rsid w:val="0073798D"/>
    <w:rsid w:val="007579D8"/>
    <w:rsid w:val="0078080A"/>
    <w:rsid w:val="0080585A"/>
    <w:rsid w:val="0081145D"/>
    <w:rsid w:val="008A1A76"/>
    <w:rsid w:val="008E0049"/>
    <w:rsid w:val="008F5570"/>
    <w:rsid w:val="009064F6"/>
    <w:rsid w:val="009C74A5"/>
    <w:rsid w:val="00A14A44"/>
    <w:rsid w:val="00A5428F"/>
    <w:rsid w:val="00AB1349"/>
    <w:rsid w:val="00B1464A"/>
    <w:rsid w:val="00B40685"/>
    <w:rsid w:val="00B40724"/>
    <w:rsid w:val="00B7683E"/>
    <w:rsid w:val="00BA6386"/>
    <w:rsid w:val="00C05E3D"/>
    <w:rsid w:val="00C430E7"/>
    <w:rsid w:val="00C5444F"/>
    <w:rsid w:val="00CB37AE"/>
    <w:rsid w:val="00D17B06"/>
    <w:rsid w:val="00D23C47"/>
    <w:rsid w:val="00DB191B"/>
    <w:rsid w:val="00DD51B4"/>
    <w:rsid w:val="00DD7F67"/>
    <w:rsid w:val="00DF18A3"/>
    <w:rsid w:val="00E15FCD"/>
    <w:rsid w:val="00EC6958"/>
    <w:rsid w:val="00ED0268"/>
    <w:rsid w:val="00F05697"/>
    <w:rsid w:val="00F63377"/>
    <w:rsid w:val="00F73B69"/>
    <w:rsid w:val="00F87AA9"/>
    <w:rsid w:val="00FC6B8B"/>
    <w:rsid w:val="10EE4EAB"/>
    <w:rsid w:val="1DFF3B5C"/>
    <w:rsid w:val="3BA66BCB"/>
    <w:rsid w:val="6270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59CA-7DCE-4DF3-A9AC-ADC71E7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60</cp:revision>
  <cp:lastPrinted>2025-01-23T08:34:00Z</cp:lastPrinted>
  <dcterms:created xsi:type="dcterms:W3CDTF">2016-03-17T07:39:00Z</dcterms:created>
  <dcterms:modified xsi:type="dcterms:W3CDTF">2025-01-23T08:35:00Z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E529454216324CC6ACBE4142425ACBAC_12</vt:lpwstr>
  </property>
</Properties>
</file>