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354085">
        <w:t>12.01.2021</w:t>
      </w:r>
      <w:r w:rsidR="00F027CE">
        <w:t xml:space="preserve"> </w:t>
      </w:r>
      <w:r w:rsidRPr="00787F84">
        <w:t xml:space="preserve">№ </w:t>
      </w:r>
      <w:r w:rsidR="00354085">
        <w:t>1</w:t>
      </w:r>
      <w:bookmarkStart w:id="3" w:name="_GoBack"/>
      <w:bookmarkEnd w:id="3"/>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территорий общего пользования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1F3616">
              <w:t>2</w:t>
            </w:r>
            <w:r w:rsidR="009A79FB">
              <w:t>2</w:t>
            </w:r>
            <w:r w:rsidR="004673E3">
              <w:t> </w:t>
            </w:r>
            <w:r w:rsidR="009A79FB">
              <w:t>389</w:t>
            </w:r>
            <w:r w:rsidR="00E07D75">
              <w:t>,</w:t>
            </w:r>
            <w:r w:rsidR="001F3616">
              <w:t>00</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краевого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 xml:space="preserve">2021 год – </w:t>
            </w:r>
            <w:r w:rsidR="009A79FB">
              <w:t>827,20</w:t>
            </w:r>
            <w:r w:rsidRPr="00787F84">
              <w:t xml:space="preserve">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CA7E1F">
              <w:t>3</w:t>
            </w:r>
            <w:r w:rsidR="001F3616">
              <w:t>70</w:t>
            </w:r>
            <w:r w:rsidR="00680611">
              <w:t>,</w:t>
            </w:r>
            <w:r w:rsidR="001F3616">
              <w:t>00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Контроль за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жилищно-коммунального хозяйства в Переясловском сельском</w:t>
      </w:r>
    </w:p>
    <w:p w:rsidR="00787F84" w:rsidRPr="00787F84" w:rsidRDefault="00B53E8C" w:rsidP="00E07D75">
      <w:pPr>
        <w:jc w:val="center"/>
        <w:rPr>
          <w:b/>
        </w:rPr>
      </w:pPr>
      <w:r>
        <w:rPr>
          <w:b/>
        </w:rPr>
        <w:t>поселении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территорий общего пользования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п/п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B5CD8"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п/п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6"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5E59C6">
        <w:trPr>
          <w:trHeight w:val="13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0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5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5E59C6">
        <w:trPr>
          <w:trHeight w:val="10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7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420"/>
        </w:trPr>
        <w:tc>
          <w:tcPr>
            <w:tcW w:w="53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20"/>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204B89">
        <w:trPr>
          <w:trHeight w:val="39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9A79FB">
        <w:trPr>
          <w:trHeight w:val="150"/>
        </w:trPr>
        <w:tc>
          <w:tcPr>
            <w:tcW w:w="536"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6"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11"/>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A9494D">
        <w:trPr>
          <w:trHeight w:val="126"/>
        </w:trPr>
        <w:tc>
          <w:tcPr>
            <w:tcW w:w="536"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B41FED">
        <w:trPr>
          <w:trHeight w:val="96"/>
        </w:trPr>
        <w:tc>
          <w:tcPr>
            <w:tcW w:w="536"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9A79FB">
        <w:trPr>
          <w:trHeight w:val="1665"/>
        </w:trPr>
        <w:tc>
          <w:tcPr>
            <w:tcW w:w="536"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9A79FB" w:rsidRPr="003B5CD8" w:rsidRDefault="009A79FB" w:rsidP="0072639F">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706890">
        <w:trPr>
          <w:trHeight w:val="165"/>
        </w:trPr>
        <w:tc>
          <w:tcPr>
            <w:tcW w:w="2632"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96"/>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65"/>
        </w:trPr>
        <w:tc>
          <w:tcPr>
            <w:tcW w:w="2632"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706890">
        <w:trPr>
          <w:trHeight w:val="180"/>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AD6188">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54085">
            <w:pPr>
              <w:rPr>
                <w:rFonts w:eastAsia="Times New Roman" w:cs="Times New Roman"/>
                <w:color w:val="000000"/>
                <w:sz w:val="22"/>
                <w:lang w:eastAsia="ru-RU"/>
              </w:rPr>
            </w:pPr>
            <w:r>
              <w:rPr>
                <w:rFonts w:eastAsia="Times New Roman" w:cs="Times New Roman"/>
                <w:color w:val="000000"/>
                <w:sz w:val="22"/>
                <w:lang w:eastAsia="ru-RU"/>
              </w:rPr>
              <w:t>2</w:t>
            </w:r>
            <w:r w:rsidR="00354085">
              <w:rPr>
                <w:rFonts w:eastAsia="Times New Roman" w:cs="Times New Roman"/>
                <w:color w:val="000000"/>
                <w:sz w:val="22"/>
                <w:lang w:eastAsia="ru-RU"/>
              </w:rPr>
              <w:t>2</w:t>
            </w:r>
            <w:r w:rsidR="00320BC8" w:rsidRPr="003B5CD8">
              <w:rPr>
                <w:rFonts w:eastAsia="Times New Roman" w:cs="Times New Roman"/>
                <w:color w:val="000000"/>
                <w:sz w:val="22"/>
                <w:lang w:eastAsia="ru-RU"/>
              </w:rPr>
              <w:t> </w:t>
            </w:r>
            <w:r w:rsidR="00354085">
              <w:rPr>
                <w:rFonts w:eastAsia="Times New Roman" w:cs="Times New Roman"/>
                <w:color w:val="000000"/>
                <w:sz w:val="22"/>
                <w:lang w:eastAsia="ru-RU"/>
              </w:rPr>
              <w:t>01</w:t>
            </w:r>
            <w:r>
              <w:rPr>
                <w:rFonts w:eastAsia="Times New Roman" w:cs="Times New Roman"/>
                <w:color w:val="000000"/>
                <w:sz w:val="22"/>
                <w:lang w:eastAsia="ru-RU"/>
              </w:rPr>
              <w:t>9</w:t>
            </w:r>
            <w:r w:rsidR="00320BC8" w:rsidRPr="003B5CD8">
              <w:rPr>
                <w:rFonts w:eastAsia="Times New Roman" w:cs="Times New Roman"/>
                <w:color w:val="000000"/>
                <w:sz w:val="22"/>
                <w:lang w:eastAsia="ru-RU"/>
              </w:rPr>
              <w:t>,</w:t>
            </w:r>
            <w:r w:rsidR="00354085">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70"/>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77F31">
        <w:trPr>
          <w:trHeight w:val="425"/>
        </w:trPr>
        <w:tc>
          <w:tcPr>
            <w:tcW w:w="53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54085">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354085">
              <w:rPr>
                <w:rFonts w:eastAsia="Times New Roman" w:cs="Times New Roman"/>
                <w:color w:val="000000"/>
                <w:sz w:val="22"/>
                <w:lang w:eastAsia="ru-RU"/>
              </w:rPr>
              <w:t>39</w:t>
            </w:r>
            <w:r w:rsidRPr="003B5CD8">
              <w:rPr>
                <w:rFonts w:eastAsia="Times New Roman" w:cs="Times New Roman"/>
                <w:color w:val="000000"/>
                <w:sz w:val="22"/>
                <w:lang w:eastAsia="ru-RU"/>
              </w:rPr>
              <w:t>,</w:t>
            </w:r>
            <w:r w:rsidR="00354085">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B5CD8" w:rsidRDefault="003B5CD8"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6" w:type="dxa"/>
            <w:vMerge w:val="restart"/>
            <w:tcBorders>
              <w:top w:val="single" w:sz="4" w:space="0" w:color="auto"/>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общественной территории по ул. Красной,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54085" w:rsidP="00354085">
            <w:pPr>
              <w:rPr>
                <w:rFonts w:eastAsia="Times New Roman" w:cs="Times New Roman"/>
                <w:color w:val="000000"/>
                <w:sz w:val="22"/>
                <w:lang w:eastAsia="ru-RU"/>
              </w:rPr>
            </w:pPr>
            <w:r>
              <w:rPr>
                <w:rFonts w:eastAsia="Times New Roman" w:cs="Times New Roman"/>
                <w:color w:val="000000"/>
                <w:sz w:val="22"/>
                <w:lang w:eastAsia="ru-RU"/>
              </w:rPr>
              <w:t>3</w:t>
            </w:r>
            <w:r w:rsidR="00320BC8" w:rsidRPr="003B5CD8">
              <w:rPr>
                <w:rFonts w:eastAsia="Times New Roman" w:cs="Times New Roman"/>
                <w:color w:val="000000"/>
                <w:sz w:val="22"/>
                <w:lang w:eastAsia="ru-RU"/>
              </w:rPr>
              <w:t>0,</w:t>
            </w:r>
            <w:r>
              <w:rPr>
                <w:rFonts w:eastAsia="Times New Roman" w:cs="Times New Roman"/>
                <w:color w:val="000000"/>
                <w:sz w:val="22"/>
                <w:lang w:eastAsia="ru-RU"/>
              </w:rPr>
              <w:t>6</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54085" w:rsidP="00354085">
            <w:pPr>
              <w:rPr>
                <w:rFonts w:eastAsia="Times New Roman" w:cs="Times New Roman"/>
                <w:color w:val="000000"/>
                <w:sz w:val="22"/>
                <w:lang w:eastAsia="ru-RU"/>
              </w:rPr>
            </w:pPr>
            <w:r>
              <w:rPr>
                <w:rFonts w:eastAsia="Times New Roman" w:cs="Times New Roman"/>
                <w:color w:val="000000"/>
                <w:sz w:val="22"/>
                <w:lang w:eastAsia="ru-RU"/>
              </w:rPr>
              <w:t>3</w:t>
            </w:r>
            <w:r w:rsidR="00320BC8" w:rsidRPr="003B5CD8">
              <w:rPr>
                <w:rFonts w:eastAsia="Times New Roman" w:cs="Times New Roman"/>
                <w:color w:val="000000"/>
                <w:sz w:val="22"/>
                <w:lang w:eastAsia="ru-RU"/>
              </w:rPr>
              <w:t>0,</w:t>
            </w:r>
            <w:r>
              <w:rPr>
                <w:rFonts w:eastAsia="Times New Roman" w:cs="Times New Roman"/>
                <w:color w:val="000000"/>
                <w:sz w:val="22"/>
                <w:lang w:eastAsia="ru-RU"/>
              </w:rPr>
              <w:t>6</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Ремонт тротуара и установка МАФ (урны, скамейки)</w:t>
            </w:r>
          </w:p>
        </w:tc>
        <w:tc>
          <w:tcPr>
            <w:tcW w:w="1689" w:type="dxa"/>
            <w:vMerge w:val="restart"/>
            <w:tcBorders>
              <w:top w:val="single" w:sz="4" w:space="0" w:color="auto"/>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21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15"/>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C34FB7">
        <w:trPr>
          <w:trHeight w:val="360"/>
        </w:trPr>
        <w:tc>
          <w:tcPr>
            <w:tcW w:w="536"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B5CD8" w:rsidRDefault="00320BC8"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54085" w:rsidP="00354085">
            <w:pPr>
              <w:rPr>
                <w:rFonts w:eastAsia="Times New Roman" w:cs="Times New Roman"/>
                <w:color w:val="000000"/>
                <w:sz w:val="22"/>
                <w:lang w:eastAsia="ru-RU"/>
              </w:rPr>
            </w:pPr>
            <w:r>
              <w:rPr>
                <w:rFonts w:eastAsia="Times New Roman" w:cs="Times New Roman"/>
                <w:color w:val="000000"/>
                <w:sz w:val="22"/>
                <w:lang w:eastAsia="ru-RU"/>
              </w:rPr>
              <w:t>3</w:t>
            </w:r>
            <w:r w:rsidR="00320BC8" w:rsidRPr="003B5CD8">
              <w:rPr>
                <w:rFonts w:eastAsia="Times New Roman" w:cs="Times New Roman"/>
                <w:color w:val="000000"/>
                <w:sz w:val="22"/>
                <w:lang w:eastAsia="ru-RU"/>
              </w:rPr>
              <w:t>0,</w:t>
            </w:r>
            <w:r>
              <w:rPr>
                <w:rFonts w:eastAsia="Times New Roman" w:cs="Times New Roman"/>
                <w:color w:val="000000"/>
                <w:sz w:val="22"/>
                <w:lang w:eastAsia="ru-RU"/>
              </w:rPr>
              <w:t>6</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54085" w:rsidP="00354085">
            <w:pPr>
              <w:rPr>
                <w:rFonts w:eastAsia="Times New Roman" w:cs="Times New Roman"/>
                <w:color w:val="000000"/>
                <w:sz w:val="22"/>
                <w:lang w:eastAsia="ru-RU"/>
              </w:rPr>
            </w:pPr>
            <w:r>
              <w:rPr>
                <w:rFonts w:eastAsia="Times New Roman" w:cs="Times New Roman"/>
                <w:color w:val="000000"/>
                <w:sz w:val="22"/>
                <w:lang w:eastAsia="ru-RU"/>
              </w:rPr>
              <w:t>3</w:t>
            </w:r>
            <w:r w:rsidR="00320BC8" w:rsidRPr="003B5CD8">
              <w:rPr>
                <w:rFonts w:eastAsia="Times New Roman" w:cs="Times New Roman"/>
                <w:color w:val="000000"/>
                <w:sz w:val="22"/>
                <w:lang w:eastAsia="ru-RU"/>
              </w:rPr>
              <w:t>0,</w:t>
            </w:r>
            <w:r>
              <w:rPr>
                <w:rFonts w:eastAsia="Times New Roman" w:cs="Times New Roman"/>
                <w:color w:val="000000"/>
                <w:sz w:val="22"/>
                <w:lang w:eastAsia="ru-RU"/>
              </w:rPr>
              <w:t>6</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20BC8" w:rsidRPr="003B5CD8" w:rsidTr="003B5CD8">
        <w:trPr>
          <w:trHeight w:val="480"/>
        </w:trPr>
        <w:tc>
          <w:tcPr>
            <w:tcW w:w="536"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B5CD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20BC8" w:rsidP="00C34FB7">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C77F31">
            <w:pPr>
              <w:jc w:val="left"/>
              <w:rPr>
                <w:rFonts w:eastAsia="Times New Roman" w:cs="Times New Roman"/>
                <w:color w:val="000000"/>
                <w:sz w:val="22"/>
                <w:lang w:eastAsia="ru-RU"/>
              </w:rPr>
            </w:pPr>
          </w:p>
        </w:tc>
      </w:tr>
      <w:tr w:rsidR="003B5CD8" w:rsidRPr="003B5CD8" w:rsidTr="0018145F">
        <w:trPr>
          <w:trHeight w:val="105"/>
        </w:trPr>
        <w:tc>
          <w:tcPr>
            <w:tcW w:w="2632" w:type="dxa"/>
            <w:gridSpan w:val="2"/>
            <w:vMerge w:val="restart"/>
            <w:tcBorders>
              <w:top w:val="single" w:sz="4" w:space="0" w:color="auto"/>
              <w:left w:val="single" w:sz="4" w:space="0" w:color="auto"/>
              <w:right w:val="single" w:sz="4" w:space="0" w:color="auto"/>
            </w:tcBorders>
            <w:vAlign w:val="center"/>
          </w:tcPr>
          <w:p w:rsidR="003B5CD8" w:rsidRDefault="003B5CD8" w:rsidP="00320BC8">
            <w:pPr>
              <w:rPr>
                <w:rFonts w:eastAsia="Times New Roman" w:cs="Times New Roman"/>
                <w:color w:val="000000"/>
                <w:sz w:val="22"/>
                <w:lang w:eastAsia="ru-RU"/>
              </w:rPr>
            </w:pPr>
          </w:p>
          <w:p w:rsidR="003B5CD8" w:rsidRPr="003B5CD8" w:rsidRDefault="003B5CD8" w:rsidP="00320BC8">
            <w:pPr>
              <w:rPr>
                <w:rFonts w:eastAsia="Times New Roman" w:cs="Times New Roman"/>
                <w:color w:val="000000"/>
                <w:sz w:val="22"/>
                <w:lang w:eastAsia="ru-RU"/>
              </w:rPr>
            </w:pPr>
            <w:r>
              <w:rPr>
                <w:rFonts w:eastAsia="Times New Roman" w:cs="Times New Roman"/>
                <w:color w:val="000000"/>
                <w:sz w:val="22"/>
                <w:lang w:eastAsia="ru-RU"/>
              </w:rPr>
              <w:lastRenderedPageBreak/>
              <w:t>Итого 2021 год</w:t>
            </w: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r w:rsidRPr="003B5CD8">
              <w:rPr>
                <w:sz w:val="22"/>
              </w:rPr>
              <w:t>22 049,6</w:t>
            </w:r>
          </w:p>
        </w:tc>
        <w:tc>
          <w:tcPr>
            <w:tcW w:w="648"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3B5CD8" w:rsidRPr="003B5CD8" w:rsidRDefault="003B5CD8" w:rsidP="00DA634A">
            <w:pPr>
              <w:rPr>
                <w:sz w:val="22"/>
              </w:rPr>
            </w:pPr>
            <w:r w:rsidRPr="003B5CD8">
              <w:rPr>
                <w:sz w:val="22"/>
              </w:rPr>
              <w:t>22 049,6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3B5CD8" w:rsidRPr="003B5CD8" w:rsidTr="00D73E54">
        <w:trPr>
          <w:trHeight w:val="135"/>
        </w:trPr>
        <w:tc>
          <w:tcPr>
            <w:tcW w:w="2632" w:type="dxa"/>
            <w:gridSpan w:val="2"/>
            <w:vMerge/>
            <w:tcBorders>
              <w:left w:val="single" w:sz="4" w:space="0" w:color="auto"/>
              <w:bottom w:val="single" w:sz="4" w:space="0" w:color="auto"/>
              <w:right w:val="single" w:sz="4" w:space="0" w:color="auto"/>
            </w:tcBorders>
            <w:vAlign w:val="center"/>
          </w:tcPr>
          <w:p w:rsidR="003B5CD8" w:rsidRPr="003B5CD8" w:rsidRDefault="003B5CD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665D">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C77F31">
            <w:pPr>
              <w:jc w:val="left"/>
              <w:rPr>
                <w:rFonts w:eastAsia="Times New Roman" w:cs="Times New Roman"/>
                <w:color w:val="000000"/>
                <w:sz w:val="22"/>
                <w:lang w:eastAsia="ru-RU"/>
              </w:rPr>
            </w:pPr>
          </w:p>
        </w:tc>
      </w:tr>
      <w:tr w:rsidR="00C77F31" w:rsidRPr="003B5CD8"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22 389,0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77F31">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22 049,6</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A9186B">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C77F31" w:rsidP="004F2218">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70</w:t>
            </w:r>
            <w:r w:rsidR="004F2218">
              <w:rPr>
                <w:rFonts w:eastAsia="Times New Roman" w:cs="Times New Roman"/>
                <w:color w:val="000000"/>
                <w:sz w:val="22"/>
                <w:lang w:eastAsia="ru-RU"/>
              </w:rPr>
              <w:t>9</w:t>
            </w:r>
            <w:r w:rsidRPr="003B5CD8">
              <w:rPr>
                <w:rFonts w:eastAsia="Times New Roman" w:cs="Times New Roman"/>
                <w:color w:val="000000"/>
                <w:sz w:val="22"/>
                <w:lang w:eastAsia="ru-RU"/>
              </w:rPr>
              <w:t>,</w:t>
            </w:r>
            <w:r w:rsidR="004F221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F235AC">
            <w:pPr>
              <w:rPr>
                <w:rFonts w:eastAsia="Times New Roman" w:cs="Times New Roman"/>
                <w:color w:val="000000"/>
                <w:sz w:val="22"/>
                <w:lang w:eastAsia="ru-RU"/>
              </w:rPr>
            </w:pPr>
            <w:r>
              <w:rPr>
                <w:rFonts w:eastAsia="Times New Roman" w:cs="Times New Roman"/>
                <w:color w:val="000000"/>
                <w:sz w:val="22"/>
                <w:lang w:eastAsia="ru-RU"/>
              </w:rPr>
              <w:t>1 370,0</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22 049,6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C77F31" w:rsidP="004F2218">
            <w:pPr>
              <w:spacing w:after="200" w:line="276" w:lineRule="auto"/>
              <w:jc w:val="center"/>
              <w:rPr>
                <w:sz w:val="24"/>
                <w:szCs w:val="24"/>
              </w:rPr>
            </w:pPr>
            <w:r w:rsidRPr="005D74C2">
              <w:rPr>
                <w:sz w:val="24"/>
                <w:szCs w:val="24"/>
              </w:rPr>
              <w:t>1 </w:t>
            </w:r>
            <w:r w:rsidR="004F2218">
              <w:rPr>
                <w:sz w:val="24"/>
                <w:szCs w:val="24"/>
              </w:rPr>
              <w:t>370</w:t>
            </w:r>
            <w:r w:rsidR="005D74C2" w:rsidRPr="005D74C2">
              <w:rPr>
                <w:sz w:val="24"/>
                <w:szCs w:val="24"/>
              </w:rPr>
              <w:t>,</w:t>
            </w:r>
            <w:r w:rsidR="004F2218">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4F2218" w:rsidP="004F2218">
            <w:pPr>
              <w:jc w:val="center"/>
              <w:rPr>
                <w:sz w:val="24"/>
                <w:szCs w:val="24"/>
                <w:lang w:eastAsia="ru-RU"/>
              </w:rPr>
            </w:pPr>
            <w:r>
              <w:rPr>
                <w:sz w:val="24"/>
                <w:szCs w:val="24"/>
                <w:lang w:eastAsia="ru-RU"/>
              </w:rPr>
              <w:t>22</w:t>
            </w:r>
            <w:r w:rsidR="00C77F31" w:rsidRPr="005D74C2">
              <w:rPr>
                <w:sz w:val="24"/>
                <w:szCs w:val="24"/>
                <w:lang w:eastAsia="ru-RU"/>
              </w:rPr>
              <w:t> </w:t>
            </w:r>
            <w:r>
              <w:rPr>
                <w:sz w:val="24"/>
                <w:szCs w:val="24"/>
                <w:lang w:eastAsia="ru-RU"/>
              </w:rPr>
              <w:t>389</w:t>
            </w:r>
            <w:r w:rsidR="00C77F31" w:rsidRPr="005D74C2">
              <w:rPr>
                <w:sz w:val="24"/>
                <w:szCs w:val="24"/>
                <w:lang w:eastAsia="ru-RU"/>
              </w:rPr>
              <w:t>,</w:t>
            </w:r>
            <w:r>
              <w:rPr>
                <w:sz w:val="24"/>
                <w:szCs w:val="24"/>
                <w:lang w:eastAsia="ru-RU"/>
              </w:rPr>
              <w:t>0</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lang w:eastAsia="ru-RU"/>
              </w:rPr>
              <w:t>827,2</w:t>
            </w:r>
          </w:p>
        </w:tc>
        <w:tc>
          <w:tcPr>
            <w:tcW w:w="1699" w:type="dxa"/>
            <w:vAlign w:val="center"/>
          </w:tcPr>
          <w:p w:rsidR="00C77F31" w:rsidRPr="005D74C2" w:rsidRDefault="006B0C32" w:rsidP="004F2218">
            <w:pPr>
              <w:jc w:val="center"/>
              <w:rPr>
                <w:sz w:val="24"/>
                <w:szCs w:val="24"/>
                <w:lang w:eastAsia="ru-RU"/>
              </w:rPr>
            </w:pPr>
            <w:r w:rsidRPr="005D74C2">
              <w:rPr>
                <w:sz w:val="24"/>
                <w:szCs w:val="24"/>
                <w:lang w:eastAsia="ru-RU"/>
              </w:rPr>
              <w:t>1 </w:t>
            </w:r>
            <w:r w:rsidR="00F235AC">
              <w:rPr>
                <w:sz w:val="24"/>
                <w:szCs w:val="24"/>
                <w:lang w:eastAsia="ru-RU"/>
              </w:rPr>
              <w:t>70</w:t>
            </w:r>
            <w:r w:rsidR="004F2218">
              <w:rPr>
                <w:sz w:val="24"/>
                <w:szCs w:val="24"/>
                <w:lang w:eastAsia="ru-RU"/>
              </w:rPr>
              <w:t>9</w:t>
            </w:r>
            <w:r w:rsidRPr="005D74C2">
              <w:rPr>
                <w:sz w:val="24"/>
                <w:szCs w:val="24"/>
                <w:lang w:eastAsia="ru-RU"/>
              </w:rPr>
              <w:t>,</w:t>
            </w:r>
            <w:r w:rsidR="004F2218">
              <w:rPr>
                <w:sz w:val="24"/>
                <w:szCs w:val="24"/>
                <w:lang w:eastAsia="ru-RU"/>
              </w:rPr>
              <w:t>4</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22</w:t>
            </w:r>
            <w:r w:rsidR="006B0C32" w:rsidRPr="005D74C2">
              <w:rPr>
                <w:sz w:val="24"/>
                <w:szCs w:val="24"/>
              </w:rPr>
              <w:t> </w:t>
            </w:r>
            <w:r>
              <w:rPr>
                <w:sz w:val="24"/>
                <w:szCs w:val="24"/>
              </w:rPr>
              <w:t>049</w:t>
            </w:r>
            <w:r w:rsidR="006B0C32" w:rsidRPr="005D74C2">
              <w:rPr>
                <w:sz w:val="24"/>
                <w:szCs w:val="24"/>
              </w:rPr>
              <w:t>,</w:t>
            </w:r>
            <w:r>
              <w:rPr>
                <w:sz w:val="24"/>
                <w:szCs w:val="24"/>
              </w:rPr>
              <w:t>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4F2218">
            <w:pPr>
              <w:spacing w:after="200" w:line="276" w:lineRule="auto"/>
              <w:jc w:val="center"/>
              <w:rPr>
                <w:sz w:val="24"/>
                <w:szCs w:val="24"/>
              </w:rPr>
            </w:pPr>
            <w:r w:rsidRPr="005D74C2">
              <w:rPr>
                <w:sz w:val="24"/>
                <w:szCs w:val="24"/>
              </w:rPr>
              <w:t>1 </w:t>
            </w:r>
            <w:r w:rsidR="009549B7">
              <w:rPr>
                <w:sz w:val="24"/>
                <w:szCs w:val="24"/>
              </w:rPr>
              <w:t>3</w:t>
            </w:r>
            <w:r w:rsidR="004F2218">
              <w:rPr>
                <w:sz w:val="24"/>
                <w:szCs w:val="24"/>
              </w:rPr>
              <w:t>70</w:t>
            </w:r>
            <w:r w:rsidRPr="005D74C2">
              <w:rPr>
                <w:sz w:val="24"/>
                <w:szCs w:val="24"/>
              </w:rPr>
              <w:t>,</w:t>
            </w:r>
            <w:r w:rsidR="004F2218">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4F2218" w:rsidP="004F2218">
            <w:pPr>
              <w:jc w:val="center"/>
              <w:rPr>
                <w:sz w:val="24"/>
                <w:szCs w:val="24"/>
                <w:lang w:eastAsia="ru-RU"/>
              </w:rPr>
            </w:pPr>
            <w:r>
              <w:rPr>
                <w:sz w:val="24"/>
                <w:szCs w:val="24"/>
                <w:lang w:eastAsia="ru-RU"/>
              </w:rPr>
              <w:t>22 389,0</w:t>
            </w:r>
          </w:p>
        </w:tc>
        <w:tc>
          <w:tcPr>
            <w:tcW w:w="1808" w:type="dxa"/>
            <w:vAlign w:val="center"/>
          </w:tcPr>
          <w:p w:rsidR="00C77F31" w:rsidRPr="005D74C2" w:rsidRDefault="004F2218" w:rsidP="004F2218">
            <w:pPr>
              <w:jc w:val="center"/>
              <w:rPr>
                <w:sz w:val="24"/>
                <w:szCs w:val="24"/>
                <w:lang w:eastAsia="ru-RU"/>
              </w:rPr>
            </w:pPr>
            <w:r>
              <w:rPr>
                <w:sz w:val="24"/>
                <w:szCs w:val="24"/>
                <w:lang w:eastAsia="ru-RU"/>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6B0C32" w:rsidP="004F2218">
            <w:pPr>
              <w:jc w:val="center"/>
              <w:rPr>
                <w:sz w:val="24"/>
                <w:szCs w:val="24"/>
                <w:lang w:eastAsia="ru-RU"/>
              </w:rPr>
            </w:pPr>
            <w:r w:rsidRPr="005D74C2">
              <w:rPr>
                <w:sz w:val="24"/>
                <w:szCs w:val="24"/>
                <w:lang w:eastAsia="ru-RU"/>
              </w:rPr>
              <w:t>1 </w:t>
            </w:r>
            <w:r w:rsidR="00F235AC">
              <w:rPr>
                <w:sz w:val="24"/>
                <w:szCs w:val="24"/>
                <w:lang w:eastAsia="ru-RU"/>
              </w:rPr>
              <w:t>70</w:t>
            </w:r>
            <w:r w:rsidR="004F2218">
              <w:rPr>
                <w:sz w:val="24"/>
                <w:szCs w:val="24"/>
                <w:lang w:eastAsia="ru-RU"/>
              </w:rPr>
              <w:t>9</w:t>
            </w:r>
            <w:r w:rsidRPr="005D74C2">
              <w:rPr>
                <w:sz w:val="24"/>
                <w:szCs w:val="24"/>
                <w:lang w:eastAsia="ru-RU"/>
              </w:rPr>
              <w:t>,</w:t>
            </w:r>
            <w:r w:rsidR="004F2218">
              <w:rPr>
                <w:sz w:val="24"/>
                <w:szCs w:val="24"/>
                <w:lang w:eastAsia="ru-RU"/>
              </w:rPr>
              <w:t>4</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r w:rsidRPr="006B0C32">
        <w:rPr>
          <w:rFonts w:eastAsia="Times New Roman" w:cs="Times New Roman"/>
          <w:szCs w:val="24"/>
          <w:lang w:eastAsia="ru-RU"/>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lastRenderedPageBreak/>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и контроль за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lastRenderedPageBreak/>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r w:rsidRPr="0070101E">
        <w:t xml:space="preserve">Контроль за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r w:rsidRPr="0070101E">
              <w:rPr>
                <w:sz w:val="24"/>
                <w:szCs w:val="24"/>
              </w:rPr>
              <w:t>п/п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Наименование общественной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70101E">
            <w:pPr>
              <w:tabs>
                <w:tab w:val="right" w:pos="9639"/>
              </w:tabs>
              <w:rPr>
                <w:sz w:val="24"/>
                <w:szCs w:val="24"/>
              </w:rPr>
            </w:pPr>
            <w:r w:rsidRPr="009549B7">
              <w:rPr>
                <w:sz w:val="24"/>
                <w:szCs w:val="24"/>
              </w:rPr>
              <w:t>Благоустройство общественной территории по ул. Красной,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9549B7">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Красная (от ул. Красная, 76А до ул. Степная)</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п/п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r w:rsidRPr="009C0E33">
              <w:rPr>
                <w:rFonts w:cs="Times New Roman"/>
                <w:sz w:val="24"/>
              </w:rPr>
              <w:t>п/п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505C32" w:rsidRPr="009C0E33" w:rsidRDefault="00505C32" w:rsidP="00505C32">
      <w:pPr>
        <w:tabs>
          <w:tab w:val="left" w:pos="1920"/>
        </w:tabs>
        <w:ind w:firstLine="567"/>
        <w:rPr>
          <w:rFonts w:cs="Times New Roman"/>
          <w:szCs w:val="28"/>
        </w:rPr>
      </w:pPr>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505C32" w:rsidRPr="009C0E33" w:rsidRDefault="00505C32" w:rsidP="00505C32">
      <w:pPr>
        <w:tabs>
          <w:tab w:val="left" w:pos="1920"/>
        </w:tabs>
        <w:ind w:firstLine="567"/>
        <w:rPr>
          <w:rFonts w:cs="Times New Roman"/>
          <w:szCs w:val="28"/>
        </w:rPr>
      </w:pPr>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85" w:rsidRDefault="00891085" w:rsidP="00C77069">
      <w:r>
        <w:separator/>
      </w:r>
    </w:p>
  </w:endnote>
  <w:endnote w:type="continuationSeparator" w:id="0">
    <w:p w:rsidR="00891085" w:rsidRDefault="00891085"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85" w:rsidRDefault="00891085" w:rsidP="00C77069">
      <w:r>
        <w:separator/>
      </w:r>
    </w:p>
  </w:footnote>
  <w:footnote w:type="continuationSeparator" w:id="0">
    <w:p w:rsidR="00891085" w:rsidRDefault="00891085"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D934D2" w:rsidRDefault="00D934D2" w:rsidP="00827B4B">
        <w:pPr>
          <w:pStyle w:val="a9"/>
          <w:jc w:val="center"/>
        </w:pPr>
        <w:r>
          <w:fldChar w:fldCharType="begin"/>
        </w:r>
        <w:r>
          <w:instrText>PAGE   \* MERGEFORMAT</w:instrText>
        </w:r>
        <w:r>
          <w:fldChar w:fldCharType="separate"/>
        </w:r>
        <w:r w:rsidR="00354085">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0A2564"/>
    <w:rsid w:val="0010063F"/>
    <w:rsid w:val="001B16DF"/>
    <w:rsid w:val="001C5A8E"/>
    <w:rsid w:val="001D6BAA"/>
    <w:rsid w:val="001E0CFD"/>
    <w:rsid w:val="001F3616"/>
    <w:rsid w:val="001F76F0"/>
    <w:rsid w:val="002E11F1"/>
    <w:rsid w:val="00320BC8"/>
    <w:rsid w:val="00354085"/>
    <w:rsid w:val="003960BA"/>
    <w:rsid w:val="003B5CD8"/>
    <w:rsid w:val="003B619A"/>
    <w:rsid w:val="003E426F"/>
    <w:rsid w:val="0045446D"/>
    <w:rsid w:val="004641D9"/>
    <w:rsid w:val="004673E3"/>
    <w:rsid w:val="004A67FA"/>
    <w:rsid w:val="004F2218"/>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91085"/>
    <w:rsid w:val="008B63FC"/>
    <w:rsid w:val="008F05AA"/>
    <w:rsid w:val="009342AC"/>
    <w:rsid w:val="009549B7"/>
    <w:rsid w:val="00974B4C"/>
    <w:rsid w:val="009A387A"/>
    <w:rsid w:val="009A6120"/>
    <w:rsid w:val="009A79FB"/>
    <w:rsid w:val="00A9186B"/>
    <w:rsid w:val="00AB56B0"/>
    <w:rsid w:val="00AC1DB1"/>
    <w:rsid w:val="00AC3589"/>
    <w:rsid w:val="00AE3CDD"/>
    <w:rsid w:val="00B279DC"/>
    <w:rsid w:val="00B52CE4"/>
    <w:rsid w:val="00B53E8C"/>
    <w:rsid w:val="00B6416E"/>
    <w:rsid w:val="00C026FD"/>
    <w:rsid w:val="00C303B2"/>
    <w:rsid w:val="00C34FB7"/>
    <w:rsid w:val="00C77069"/>
    <w:rsid w:val="00C77F31"/>
    <w:rsid w:val="00C87054"/>
    <w:rsid w:val="00CA7E1F"/>
    <w:rsid w:val="00CE2617"/>
    <w:rsid w:val="00D934D2"/>
    <w:rsid w:val="00D94CE2"/>
    <w:rsid w:val="00DE4617"/>
    <w:rsid w:val="00DF6DD5"/>
    <w:rsid w:val="00E07D75"/>
    <w:rsid w:val="00EA748F"/>
    <w:rsid w:val="00EB360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2205-A4AE-4611-9B3F-7E3D0E89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27</Pages>
  <Words>6402</Words>
  <Characters>36496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36</cp:revision>
  <cp:lastPrinted>2021-01-12T08:16:00Z</cp:lastPrinted>
  <dcterms:created xsi:type="dcterms:W3CDTF">2019-02-07T10:55:00Z</dcterms:created>
  <dcterms:modified xsi:type="dcterms:W3CDTF">2021-01-12T08:16:00Z</dcterms:modified>
</cp:coreProperties>
</file>