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5" w:rsidRPr="00DF2024" w:rsidRDefault="00F67025" w:rsidP="00F670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67025" w:rsidRPr="00DF2024" w:rsidRDefault="00F67025" w:rsidP="00F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F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F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8235A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273">
        <w:rPr>
          <w:rFonts w:ascii="Times New Roman" w:eastAsia="Times New Roman" w:hAnsi="Times New Roman"/>
          <w:sz w:val="28"/>
          <w:szCs w:val="28"/>
          <w:lang w:eastAsia="ru-RU"/>
        </w:rPr>
        <w:t>23.12.2021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273">
        <w:rPr>
          <w:rFonts w:ascii="Times New Roman" w:eastAsia="Times New Roman" w:hAnsi="Times New Roman"/>
          <w:sz w:val="28"/>
          <w:szCs w:val="28"/>
          <w:lang w:eastAsia="ru-RU"/>
        </w:rPr>
        <w:t>169</w:t>
      </w:r>
    </w:p>
    <w:p w:rsidR="00F67025" w:rsidRPr="00DF2024" w:rsidRDefault="004922D2" w:rsidP="00F67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DF2024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Pr="00DF2024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66D" w:rsidRPr="005A466D" w:rsidRDefault="005A466D" w:rsidP="005A466D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9F2047" w:rsidRPr="009F2047" w:rsidRDefault="009F2047" w:rsidP="009F20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0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 w:rsidR="00655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населенных пунктов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Переясловского сельского поселения Брюховецкого района</w:t>
      </w:r>
    </w:p>
    <w:p w:rsidR="009F2047" w:rsidRPr="009F2047" w:rsidRDefault="009F2047" w:rsidP="009F2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2047" w:rsidRDefault="009F2047" w:rsidP="009F2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5DB1" w:rsidRPr="009F2047" w:rsidRDefault="00655DB1" w:rsidP="009F2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047" w:rsidRPr="009F2047" w:rsidRDefault="009F2047" w:rsidP="00655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пунктом 5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1, частью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статьи 14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6 октября 2003 года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131-ФЗ "Об общих принципах организации местного самоуправле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в Российской Федерации",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пунктом 7 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частью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13 Федерал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ьного закона от 8 ноября 2007 года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 257-ФЗ "Об автомобильных дорогах и о дорожной деят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в Российской Федерации и о внесении изменений в отдельные законодательные акты Российской Федерации»,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статьей</w:t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Закона Краснодарского края от 8 августа 2016 года 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F7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3459-КЗ «О закреплении за сельскими поселениями Краснодарского края отдельных вопросов местного значения городских  поселений»,                             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ю:</w:t>
      </w:r>
    </w:p>
    <w:p w:rsidR="009F2047" w:rsidRPr="009F2047" w:rsidRDefault="009F2047" w:rsidP="009F2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Установить исходное значение размера вреда, причиняемого тяжеловесными транспортными средствами при движении по автомобильным дорогам общего пользования местного значения, находящимися в муниципальной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Переясловского сельского поселения Брюховецкого района </w:t>
      </w:r>
      <w:r w:rsidRPr="009F2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согласно приложению к настоящему постановлению.</w:t>
      </w:r>
    </w:p>
    <w:p w:rsidR="00B4165E" w:rsidRPr="007E0E32" w:rsidRDefault="00B4165E" w:rsidP="007E0E32">
      <w:pPr>
        <w:pStyle w:val="Style3"/>
        <w:widowControl/>
        <w:tabs>
          <w:tab w:val="left" w:pos="917"/>
        </w:tabs>
        <w:spacing w:line="240" w:lineRule="auto"/>
        <w:rPr>
          <w:rStyle w:val="FontStyle18"/>
          <w:sz w:val="28"/>
          <w:szCs w:val="28"/>
        </w:rPr>
      </w:pPr>
      <w:r w:rsidRPr="007E0E32">
        <w:rPr>
          <w:color w:val="000000"/>
          <w:sz w:val="28"/>
          <w:szCs w:val="28"/>
        </w:rPr>
        <w:t xml:space="preserve">2. </w:t>
      </w:r>
      <w:r w:rsidRPr="007E0E32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360273">
        <w:rPr>
          <w:rStyle w:val="FontStyle18"/>
          <w:sz w:val="28"/>
          <w:szCs w:val="28"/>
        </w:rPr>
        <w:t>Брюховецкого</w:t>
      </w:r>
      <w:r w:rsidRPr="007E0E32">
        <w:rPr>
          <w:rStyle w:val="FontStyle18"/>
          <w:sz w:val="28"/>
          <w:szCs w:val="28"/>
        </w:rPr>
        <w:t xml:space="preserve"> района </w:t>
      </w:r>
      <w:r w:rsidR="00C4089F" w:rsidRPr="007E0E32">
        <w:rPr>
          <w:rStyle w:val="FontStyle18"/>
          <w:sz w:val="28"/>
          <w:szCs w:val="28"/>
        </w:rPr>
        <w:t>Суворовой Е.Ю.</w:t>
      </w:r>
      <w:r w:rsidRPr="007E0E32">
        <w:rPr>
          <w:rStyle w:val="FontStyle18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Переясловского сельского поселения  </w:t>
      </w:r>
      <w:r w:rsidR="00360273">
        <w:rPr>
          <w:rStyle w:val="FontStyle18"/>
          <w:sz w:val="28"/>
          <w:szCs w:val="28"/>
        </w:rPr>
        <w:t>Брюховецкого</w:t>
      </w:r>
      <w:r w:rsidRPr="007E0E32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C015F" w:rsidRDefault="00B4165E" w:rsidP="007E0E3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E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E3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5DB1" w:rsidRDefault="00655DB1" w:rsidP="00655DB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Pr="00655DB1" w:rsidRDefault="00655DB1" w:rsidP="00655DB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5E" w:rsidRPr="007E0E32" w:rsidRDefault="00B4165E" w:rsidP="007E0E3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E32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со дня его официального </w:t>
      </w:r>
      <w:r w:rsidR="007E0E32">
        <w:rPr>
          <w:rFonts w:ascii="Times New Roman" w:hAnsi="Times New Roman"/>
          <w:sz w:val="28"/>
          <w:szCs w:val="28"/>
        </w:rPr>
        <w:t>опубликования</w:t>
      </w:r>
      <w:r w:rsidRPr="007E0E32">
        <w:rPr>
          <w:rFonts w:ascii="Times New Roman" w:hAnsi="Times New Roman"/>
          <w:sz w:val="28"/>
          <w:szCs w:val="28"/>
        </w:rPr>
        <w:t>.</w:t>
      </w:r>
    </w:p>
    <w:p w:rsidR="00B4165E" w:rsidRPr="007E0E32" w:rsidRDefault="00B4165E" w:rsidP="007E0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5E" w:rsidRPr="007E0E32" w:rsidRDefault="00B4165E" w:rsidP="007E0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Pr="007E0E32" w:rsidRDefault="00DC015F" w:rsidP="007E0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00" w:rsidRPr="007E0E32" w:rsidRDefault="00DB1AC0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32"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Pr="007E0E32" w:rsidRDefault="00DB1AC0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32">
        <w:rPr>
          <w:rFonts w:ascii="Times New Roman" w:hAnsi="Times New Roman"/>
          <w:sz w:val="28"/>
          <w:szCs w:val="28"/>
        </w:rPr>
        <w:t>сельского поселения</w:t>
      </w:r>
    </w:p>
    <w:p w:rsidR="00DC015F" w:rsidRDefault="005A358D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7CE3" w:rsidRPr="007E0E32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 w:rsidRPr="007E0E32">
        <w:rPr>
          <w:rFonts w:ascii="Times New Roman" w:hAnsi="Times New Roman"/>
          <w:sz w:val="28"/>
          <w:szCs w:val="28"/>
        </w:rPr>
        <w:t>Неваленых</w:t>
      </w: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B1" w:rsidRDefault="00655DB1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47" w:rsidRPr="007E0E32" w:rsidRDefault="009F2047" w:rsidP="007E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7E0E32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E0E32" w:rsidRDefault="007E0E32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7E0E32" w:rsidRDefault="007E0E32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E0E32" w:rsidRDefault="007E0E32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F2047" w:rsidRDefault="007E0E32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7E0E32" w:rsidRDefault="007E0E32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7E0E32" w:rsidRPr="007E0E32" w:rsidRDefault="00360273" w:rsidP="007E0E3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23.12.2021 г.</w:t>
      </w:r>
      <w:bookmarkStart w:id="0" w:name="_GoBack"/>
      <w:bookmarkEnd w:id="0"/>
      <w:r w:rsidR="007E0E3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</w:p>
    <w:p w:rsidR="007E0E32" w:rsidRDefault="007E0E32" w:rsidP="007E0E32">
      <w:pPr>
        <w:pStyle w:val="30"/>
        <w:shd w:val="clear" w:color="auto" w:fill="auto"/>
        <w:spacing w:before="0"/>
        <w:ind w:left="60"/>
        <w:rPr>
          <w:color w:val="000000"/>
          <w:lang w:eastAsia="ru-RU" w:bidi="ru-RU"/>
        </w:rPr>
      </w:pPr>
    </w:p>
    <w:p w:rsidR="007E0E32" w:rsidRDefault="007E0E32" w:rsidP="007E0E32">
      <w:pPr>
        <w:pStyle w:val="30"/>
        <w:shd w:val="clear" w:color="auto" w:fill="auto"/>
        <w:spacing w:before="0"/>
        <w:ind w:left="60"/>
        <w:rPr>
          <w:color w:val="000000"/>
          <w:lang w:eastAsia="ru-RU" w:bidi="ru-RU"/>
        </w:rPr>
      </w:pPr>
    </w:p>
    <w:p w:rsidR="00BE4986" w:rsidRPr="003B26FB" w:rsidRDefault="00BE4986" w:rsidP="00BE4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86" w:rsidRPr="00BE4986" w:rsidRDefault="00BE4986" w:rsidP="00BE498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 </w:t>
      </w:r>
      <w:r w:rsidR="006504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Переясловского</w:t>
      </w:r>
      <w:r w:rsidRPr="00BE49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6504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Брюховецкого района</w:t>
      </w:r>
    </w:p>
    <w:p w:rsidR="00BE4986" w:rsidRPr="00BE4986" w:rsidRDefault="00BE4986" w:rsidP="00BE49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N 1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вреда, причиняемого тяжеловесными транспортными средствами при движении по автомобильным дорогам местного значения </w:t>
      </w:r>
      <w:r w:rsidR="0065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Переясловского</w:t>
      </w: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65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Брюховецкого</w:t>
      </w: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641"/>
      </w:tblGrid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допустимыми</w:t>
            </w:r>
            <w:proofErr w:type="gramEnd"/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995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1084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1158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1203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1252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1570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20 (включительно) до 21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2102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2928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3063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3203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3968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4134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4304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4478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4840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5415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5615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5819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6240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6678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6903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7132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7604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7846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8092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8342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8597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8855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9118</w:t>
            </w:r>
          </w:p>
        </w:tc>
      </w:tr>
      <w:tr w:rsidR="00BE4986" w:rsidRPr="00BE4986" w:rsidTr="00F34F3A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</w:t>
            </w: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постановлением Правительства Российской Федерации от 31.01.2020 N 67</w:t>
            </w:r>
          </w:p>
        </w:tc>
      </w:tr>
    </w:tbl>
    <w:p w:rsidR="00BE4986" w:rsidRPr="00BE4986" w:rsidRDefault="00BE4986" w:rsidP="00BE49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N 2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вреда, причиняемого тяжеловесными транспортными средствами при движении по автомобильным дорогам местного значения </w:t>
      </w:r>
      <w:r w:rsidR="0065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Переясловского</w:t>
      </w: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65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Брюховецкого</w:t>
      </w: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от превышения допустимой для автомобильной дороги массы транспортного средства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627"/>
      </w:tblGrid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Превышение фактической массы транспортного средства </w:t>
            </w:r>
            <w:proofErr w:type="gramStart"/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допустимой (процентов)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9170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9319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9467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9616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9765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10062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10211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10359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10508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10656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10805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10954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11102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11251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11400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11548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11697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11845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11994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12143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12291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12440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25 (включительно) до 26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12589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12737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12886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13034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13183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13332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13480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13629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13778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13926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14075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14223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14372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12521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14669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14818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14967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15115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15264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15413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15561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15710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15858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16007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16156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16304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16453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16602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16750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16899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17047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17196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17345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17493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17642</w:t>
            </w:r>
          </w:p>
        </w:tc>
      </w:tr>
      <w:tr w:rsidR="00BE4986" w:rsidRPr="00BE4986" w:rsidTr="00F34F3A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</w:t>
            </w: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средствами утверждённым постановлением Правительства Российской Федерации от 31.01.2020 N 67</w:t>
            </w:r>
          </w:p>
        </w:tc>
      </w:tr>
    </w:tbl>
    <w:p w:rsidR="00BE4986" w:rsidRPr="00BE4986" w:rsidRDefault="00BE4986" w:rsidP="00BE49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N 3</w:t>
      </w:r>
    </w:p>
    <w:p w:rsidR="00BE4986" w:rsidRPr="00BE4986" w:rsidRDefault="00BE4986" w:rsidP="00BE4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 </w:t>
      </w:r>
      <w:r w:rsidR="0065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Переясловского</w:t>
      </w: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650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Брюховецкого</w:t>
      </w: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BE4986" w:rsidRPr="00BE4986" w:rsidRDefault="00BE4986" w:rsidP="00BE49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01"/>
        <w:gridCol w:w="1766"/>
        <w:gridCol w:w="1764"/>
      </w:tblGrid>
      <w:tr w:rsidR="00BE4986" w:rsidRPr="00BE4986" w:rsidTr="00F34F3A"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исх. ось (руб./100 км)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Постоянные коэффициенты</w:t>
            </w:r>
          </w:p>
        </w:tc>
      </w:tr>
      <w:tr w:rsidR="00BE4986" w:rsidRPr="00BE4986" w:rsidTr="00F34F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986" w:rsidRPr="00BE4986" w:rsidRDefault="00BE4986" w:rsidP="00F34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986" w:rsidRPr="00BE4986" w:rsidRDefault="00BE4986" w:rsidP="00F34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</w:p>
        </w:tc>
      </w:tr>
      <w:tr w:rsidR="00BE4986" w:rsidRPr="00BE4986" w:rsidTr="00F34F3A"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86" w:rsidRPr="00BE4986" w:rsidRDefault="00BE4986" w:rsidP="00F3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BE4986" w:rsidRPr="00BE4986" w:rsidRDefault="00BE4986" w:rsidP="00BE49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5DB1" w:rsidRPr="006504ED" w:rsidRDefault="00BE4986" w:rsidP="006504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5DB1" w:rsidRDefault="00655DB1" w:rsidP="009F20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58D" w:rsidRDefault="00655DB1" w:rsidP="00655D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5A358D" w:rsidRDefault="00655DB1" w:rsidP="00655D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Переясловского сельского</w:t>
      </w:r>
      <w:r w:rsidR="005A3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</w:p>
    <w:p w:rsidR="00655DB1" w:rsidRPr="00655DB1" w:rsidRDefault="00655DB1" w:rsidP="00655D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 w:rsidR="005A3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55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 Неваленых</w:t>
      </w: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7C4" w:rsidRDefault="007677C4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7C4" w:rsidRDefault="007677C4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47" w:rsidRDefault="009F2047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47" w:rsidRDefault="009F2047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47" w:rsidRDefault="009F2047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Pr="004A7CE3" w:rsidRDefault="00DC015F" w:rsidP="004A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9F2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A358D" w:rsidSect="001F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AA" w:rsidRDefault="00D731AA" w:rsidP="003C5713">
      <w:pPr>
        <w:spacing w:after="0" w:line="240" w:lineRule="auto"/>
      </w:pPr>
      <w:r>
        <w:separator/>
      </w:r>
    </w:p>
  </w:endnote>
  <w:endnote w:type="continuationSeparator" w:id="0">
    <w:p w:rsidR="00D731AA" w:rsidRDefault="00D731AA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AA" w:rsidRDefault="00D731AA" w:rsidP="003C5713">
      <w:pPr>
        <w:spacing w:after="0" w:line="240" w:lineRule="auto"/>
      </w:pPr>
      <w:r>
        <w:separator/>
      </w:r>
    </w:p>
  </w:footnote>
  <w:footnote w:type="continuationSeparator" w:id="0">
    <w:p w:rsidR="00D731AA" w:rsidRDefault="00D731AA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6E9"/>
    <w:multiLevelType w:val="multilevel"/>
    <w:tmpl w:val="AF142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25C64"/>
    <w:rsid w:val="0005484A"/>
    <w:rsid w:val="00056A69"/>
    <w:rsid w:val="000651D4"/>
    <w:rsid w:val="00191E09"/>
    <w:rsid w:val="001B4236"/>
    <w:rsid w:val="001C3228"/>
    <w:rsid w:val="001C6BE5"/>
    <w:rsid w:val="001F61AA"/>
    <w:rsid w:val="00252D36"/>
    <w:rsid w:val="00256095"/>
    <w:rsid w:val="00256B76"/>
    <w:rsid w:val="00301E5A"/>
    <w:rsid w:val="00360273"/>
    <w:rsid w:val="00366C37"/>
    <w:rsid w:val="00377756"/>
    <w:rsid w:val="003C5713"/>
    <w:rsid w:val="004366C4"/>
    <w:rsid w:val="004578F3"/>
    <w:rsid w:val="00470D0D"/>
    <w:rsid w:val="004729A8"/>
    <w:rsid w:val="0049113D"/>
    <w:rsid w:val="004922D2"/>
    <w:rsid w:val="004A7CE3"/>
    <w:rsid w:val="004C5F6F"/>
    <w:rsid w:val="005A358D"/>
    <w:rsid w:val="005A466D"/>
    <w:rsid w:val="00626DAC"/>
    <w:rsid w:val="00632A1F"/>
    <w:rsid w:val="00632FB5"/>
    <w:rsid w:val="006504ED"/>
    <w:rsid w:val="00655DB1"/>
    <w:rsid w:val="006704D8"/>
    <w:rsid w:val="0067701B"/>
    <w:rsid w:val="00686FD7"/>
    <w:rsid w:val="006B293C"/>
    <w:rsid w:val="006D5A29"/>
    <w:rsid w:val="007175A9"/>
    <w:rsid w:val="00736131"/>
    <w:rsid w:val="007419B6"/>
    <w:rsid w:val="007677C4"/>
    <w:rsid w:val="007A71BE"/>
    <w:rsid w:val="007E0E32"/>
    <w:rsid w:val="00806A34"/>
    <w:rsid w:val="008235A0"/>
    <w:rsid w:val="0082617D"/>
    <w:rsid w:val="00890D2D"/>
    <w:rsid w:val="00917960"/>
    <w:rsid w:val="009F2047"/>
    <w:rsid w:val="00A01B1C"/>
    <w:rsid w:val="00A13FFA"/>
    <w:rsid w:val="00A2380B"/>
    <w:rsid w:val="00A72F3C"/>
    <w:rsid w:val="00AD3DA6"/>
    <w:rsid w:val="00AE2BA2"/>
    <w:rsid w:val="00B06430"/>
    <w:rsid w:val="00B16B61"/>
    <w:rsid w:val="00B315C6"/>
    <w:rsid w:val="00B33B59"/>
    <w:rsid w:val="00B4165E"/>
    <w:rsid w:val="00B52365"/>
    <w:rsid w:val="00B95FC8"/>
    <w:rsid w:val="00BA000C"/>
    <w:rsid w:val="00BB7558"/>
    <w:rsid w:val="00BD7768"/>
    <w:rsid w:val="00BE0300"/>
    <w:rsid w:val="00BE4986"/>
    <w:rsid w:val="00BE653D"/>
    <w:rsid w:val="00C03478"/>
    <w:rsid w:val="00C35FB1"/>
    <w:rsid w:val="00C4089F"/>
    <w:rsid w:val="00CD5CE2"/>
    <w:rsid w:val="00D4135E"/>
    <w:rsid w:val="00D4774F"/>
    <w:rsid w:val="00D731AA"/>
    <w:rsid w:val="00D7335A"/>
    <w:rsid w:val="00D74E82"/>
    <w:rsid w:val="00DB1AC0"/>
    <w:rsid w:val="00DC015F"/>
    <w:rsid w:val="00DF1C48"/>
    <w:rsid w:val="00DF2024"/>
    <w:rsid w:val="00E3309E"/>
    <w:rsid w:val="00EF747C"/>
    <w:rsid w:val="00F0266C"/>
    <w:rsid w:val="00F0465A"/>
    <w:rsid w:val="00F31F33"/>
    <w:rsid w:val="00F4272D"/>
    <w:rsid w:val="00F67025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7E0E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7E0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0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0E32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5pt">
    <w:name w:val="Основной текст (2) + 11;5 pt"/>
    <w:basedOn w:val="a0"/>
    <w:rsid w:val="007E0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10</cp:revision>
  <cp:lastPrinted>2021-12-30T12:25:00Z</cp:lastPrinted>
  <dcterms:created xsi:type="dcterms:W3CDTF">2021-12-28T12:58:00Z</dcterms:created>
  <dcterms:modified xsi:type="dcterms:W3CDTF">2022-01-03T08:10:00Z</dcterms:modified>
</cp:coreProperties>
</file>