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23C" w:rsidRDefault="0002523C" w:rsidP="00B641DB">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АДМИНИСТРАЦИЯ ПЕРЕЯСЛОВСКОГО СЕЛЬСКОГО ПОСЕЛЕНИЯ</w:t>
      </w:r>
    </w:p>
    <w:p w:rsidR="0002523C" w:rsidRDefault="0002523C" w:rsidP="00B641DB">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БРЮХОВЕЦКОГО РАЙОНА</w:t>
      </w:r>
    </w:p>
    <w:p w:rsidR="0002523C" w:rsidRDefault="0002523C" w:rsidP="00B641DB">
      <w:pPr>
        <w:spacing w:after="0" w:line="240" w:lineRule="auto"/>
        <w:jc w:val="center"/>
        <w:rPr>
          <w:rFonts w:ascii="Times New Roman" w:eastAsia="Times New Roman" w:hAnsi="Times New Roman" w:cs="Times New Roman"/>
          <w:b/>
          <w:color w:val="000000"/>
          <w:sz w:val="28"/>
          <w:szCs w:val="28"/>
          <w:shd w:val="clear" w:color="auto" w:fill="FFFFFF"/>
          <w:lang w:eastAsia="ru-RU"/>
        </w:rPr>
      </w:pPr>
    </w:p>
    <w:p w:rsidR="0002523C" w:rsidRPr="00B641DB" w:rsidRDefault="0002523C" w:rsidP="00B641DB">
      <w:pPr>
        <w:spacing w:after="0" w:line="240" w:lineRule="auto"/>
        <w:jc w:val="center"/>
        <w:rPr>
          <w:rFonts w:ascii="Times New Roman" w:eastAsia="Times New Roman" w:hAnsi="Times New Roman" w:cs="Times New Roman"/>
          <w:b/>
          <w:color w:val="000000"/>
          <w:sz w:val="32"/>
          <w:szCs w:val="32"/>
          <w:shd w:val="clear" w:color="auto" w:fill="FFFFFF"/>
          <w:lang w:eastAsia="ru-RU"/>
        </w:rPr>
      </w:pPr>
      <w:r w:rsidRPr="00B641DB">
        <w:rPr>
          <w:rFonts w:ascii="Times New Roman" w:eastAsia="Times New Roman" w:hAnsi="Times New Roman" w:cs="Times New Roman"/>
          <w:b/>
          <w:color w:val="000000"/>
          <w:sz w:val="32"/>
          <w:szCs w:val="32"/>
          <w:shd w:val="clear" w:color="auto" w:fill="FFFFFF"/>
          <w:lang w:eastAsia="ru-RU"/>
        </w:rPr>
        <w:t>ПОСТАНОВЛЕНИЕ</w:t>
      </w:r>
    </w:p>
    <w:p w:rsidR="00B641DB" w:rsidRDefault="00B641DB" w:rsidP="00B641DB">
      <w:pPr>
        <w:tabs>
          <w:tab w:val="right" w:pos="8789"/>
        </w:tabs>
        <w:spacing w:after="0" w:line="240" w:lineRule="auto"/>
        <w:ind w:firstLine="851"/>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от </w:t>
      </w:r>
      <w:r w:rsidR="00D14868">
        <w:rPr>
          <w:rFonts w:ascii="Times New Roman" w:eastAsia="Times New Roman" w:hAnsi="Times New Roman" w:cs="Times New Roman"/>
          <w:color w:val="000000"/>
          <w:sz w:val="28"/>
          <w:szCs w:val="28"/>
          <w:shd w:val="clear" w:color="auto" w:fill="FFFFFF"/>
          <w:lang w:eastAsia="ru-RU"/>
        </w:rPr>
        <w:t>23.10.2018</w:t>
      </w:r>
      <w:r w:rsidR="00A25572">
        <w:rPr>
          <w:rFonts w:ascii="Times New Roman" w:eastAsia="Times New Roman" w:hAnsi="Times New Roman" w:cs="Times New Roman"/>
          <w:color w:val="000000"/>
          <w:sz w:val="28"/>
          <w:szCs w:val="28"/>
          <w:shd w:val="clear" w:color="auto" w:fill="FFFFFF"/>
          <w:lang w:eastAsia="ru-RU"/>
        </w:rPr>
        <w:tab/>
        <w:t xml:space="preserve">№ </w:t>
      </w:r>
      <w:r w:rsidR="00D14868">
        <w:rPr>
          <w:rFonts w:ascii="Times New Roman" w:eastAsia="Times New Roman" w:hAnsi="Times New Roman" w:cs="Times New Roman"/>
          <w:color w:val="000000"/>
          <w:sz w:val="28"/>
          <w:szCs w:val="28"/>
          <w:shd w:val="clear" w:color="auto" w:fill="FFFFFF"/>
          <w:lang w:eastAsia="ru-RU"/>
        </w:rPr>
        <w:t>137</w:t>
      </w:r>
    </w:p>
    <w:p w:rsidR="00B641DB" w:rsidRDefault="00B641DB" w:rsidP="00B641DB">
      <w:pPr>
        <w:spacing w:after="0" w:line="240" w:lineRule="auto"/>
        <w:jc w:val="center"/>
        <w:rPr>
          <w:rFonts w:ascii="Times New Roman" w:eastAsia="Times New Roman" w:hAnsi="Times New Roman" w:cs="Times New Roman"/>
          <w:color w:val="000000"/>
          <w:sz w:val="28"/>
          <w:szCs w:val="28"/>
          <w:shd w:val="clear" w:color="auto" w:fill="FFFFFF"/>
          <w:lang w:eastAsia="ru-RU"/>
        </w:rPr>
      </w:pPr>
      <w:proofErr w:type="spellStart"/>
      <w:r>
        <w:rPr>
          <w:rFonts w:ascii="Times New Roman" w:eastAsia="Times New Roman" w:hAnsi="Times New Roman" w:cs="Times New Roman"/>
          <w:color w:val="000000"/>
          <w:sz w:val="28"/>
          <w:szCs w:val="28"/>
          <w:shd w:val="clear" w:color="auto" w:fill="FFFFFF"/>
          <w:lang w:eastAsia="ru-RU"/>
        </w:rPr>
        <w:t>ст-ца</w:t>
      </w:r>
      <w:proofErr w:type="spellEnd"/>
      <w:r>
        <w:rPr>
          <w:rFonts w:ascii="Times New Roman" w:eastAsia="Times New Roman" w:hAnsi="Times New Roman" w:cs="Times New Roman"/>
          <w:color w:val="000000"/>
          <w:sz w:val="28"/>
          <w:szCs w:val="28"/>
          <w:shd w:val="clear" w:color="auto" w:fill="FFFFFF"/>
          <w:lang w:eastAsia="ru-RU"/>
        </w:rPr>
        <w:t xml:space="preserve"> Переясловская</w:t>
      </w:r>
    </w:p>
    <w:p w:rsidR="00B641DB" w:rsidRDefault="00B641DB" w:rsidP="0002523C">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641DB" w:rsidRDefault="00B641DB" w:rsidP="0002523C">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641DB" w:rsidRDefault="00B641DB" w:rsidP="0002523C">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B641DB" w:rsidRPr="00B641DB" w:rsidRDefault="00B641DB" w:rsidP="00B641DB">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B641DB">
        <w:rPr>
          <w:rFonts w:ascii="Times New Roman" w:eastAsia="Times New Roman" w:hAnsi="Times New Roman" w:cs="Times New Roman"/>
          <w:b/>
          <w:color w:val="000000"/>
          <w:sz w:val="28"/>
          <w:szCs w:val="28"/>
          <w:shd w:val="clear" w:color="auto" w:fill="FFFFFF"/>
          <w:lang w:eastAsia="ru-RU"/>
        </w:rPr>
        <w:t>Об утверждении ведомственной целевой программы</w:t>
      </w:r>
    </w:p>
    <w:p w:rsidR="00B641DB" w:rsidRPr="00B641DB" w:rsidRDefault="00B641DB" w:rsidP="00B641DB">
      <w:pPr>
        <w:spacing w:after="0" w:line="240" w:lineRule="auto"/>
        <w:jc w:val="center"/>
        <w:rPr>
          <w:rFonts w:ascii="Times New Roman" w:hAnsi="Times New Roman" w:cs="Times New Roman"/>
          <w:b/>
          <w:sz w:val="28"/>
          <w:szCs w:val="28"/>
        </w:rPr>
      </w:pPr>
      <w:r w:rsidRPr="00B641DB">
        <w:rPr>
          <w:rFonts w:ascii="Times New Roman" w:hAnsi="Times New Roman" w:cs="Times New Roman"/>
          <w:b/>
          <w:sz w:val="28"/>
          <w:szCs w:val="28"/>
        </w:rPr>
        <w:t xml:space="preserve">«Подготовка проектов планировки территорий и проектов межевания земельных участков» на </w:t>
      </w:r>
      <w:r w:rsidR="002C413F">
        <w:rPr>
          <w:rFonts w:ascii="Times New Roman" w:hAnsi="Times New Roman" w:cs="Times New Roman"/>
          <w:b/>
          <w:sz w:val="28"/>
          <w:szCs w:val="28"/>
        </w:rPr>
        <w:t>201</w:t>
      </w:r>
      <w:r w:rsidR="00292E0C">
        <w:rPr>
          <w:rFonts w:ascii="Times New Roman" w:hAnsi="Times New Roman" w:cs="Times New Roman"/>
          <w:b/>
          <w:sz w:val="28"/>
          <w:szCs w:val="28"/>
        </w:rPr>
        <w:t>9</w:t>
      </w:r>
      <w:r w:rsidRPr="00B641DB">
        <w:rPr>
          <w:rFonts w:ascii="Times New Roman" w:hAnsi="Times New Roman" w:cs="Times New Roman"/>
          <w:b/>
          <w:sz w:val="28"/>
          <w:szCs w:val="28"/>
        </w:rPr>
        <w:t xml:space="preserve"> год</w:t>
      </w:r>
    </w:p>
    <w:p w:rsidR="00B641DB" w:rsidRDefault="00B641DB" w:rsidP="0002523C">
      <w:pPr>
        <w:spacing w:after="0" w:line="240" w:lineRule="auto"/>
        <w:jc w:val="both"/>
        <w:rPr>
          <w:rFonts w:ascii="Times New Roman" w:hAnsi="Times New Roman" w:cs="Times New Roman"/>
          <w:sz w:val="28"/>
          <w:szCs w:val="28"/>
        </w:rPr>
      </w:pPr>
    </w:p>
    <w:p w:rsidR="00B641DB" w:rsidRDefault="00B641DB" w:rsidP="0002523C">
      <w:pPr>
        <w:spacing w:after="0" w:line="240" w:lineRule="auto"/>
        <w:jc w:val="both"/>
        <w:rPr>
          <w:rFonts w:ascii="Times New Roman" w:hAnsi="Times New Roman" w:cs="Times New Roman"/>
          <w:sz w:val="28"/>
          <w:szCs w:val="28"/>
        </w:rPr>
      </w:pPr>
    </w:p>
    <w:p w:rsidR="00B641DB" w:rsidRDefault="00B641DB" w:rsidP="0002523C">
      <w:pPr>
        <w:spacing w:after="0" w:line="240" w:lineRule="auto"/>
        <w:jc w:val="both"/>
        <w:rPr>
          <w:rFonts w:ascii="Times New Roman" w:hAnsi="Times New Roman" w:cs="Times New Roman"/>
          <w:sz w:val="28"/>
          <w:szCs w:val="28"/>
        </w:rPr>
      </w:pPr>
    </w:p>
    <w:p w:rsidR="00B641DB" w:rsidRDefault="00B641DB" w:rsidP="00EA0953">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B641DB">
        <w:rPr>
          <w:rFonts w:ascii="Times New Roman" w:eastAsia="Times New Roman" w:hAnsi="Times New Roman" w:cs="Times New Roman"/>
          <w:color w:val="000000"/>
          <w:sz w:val="28"/>
          <w:szCs w:val="28"/>
          <w:shd w:val="clear" w:color="auto" w:fill="FFFFFF"/>
          <w:lang w:eastAsia="ru-RU"/>
        </w:rPr>
        <w:t>В соответствии с Федеральным законом от 06.10.2003г. №131-ФЗ «Об</w:t>
      </w:r>
      <w:r w:rsidR="0021490D">
        <w:rPr>
          <w:rFonts w:ascii="Times New Roman" w:eastAsia="Times New Roman" w:hAnsi="Times New Roman" w:cs="Times New Roman"/>
          <w:color w:val="000000"/>
          <w:sz w:val="28"/>
          <w:szCs w:val="28"/>
          <w:shd w:val="clear" w:color="auto" w:fill="FFFFFF"/>
          <w:lang w:eastAsia="ru-RU"/>
        </w:rPr>
        <w:t> </w:t>
      </w:r>
      <w:r w:rsidRPr="00B641DB">
        <w:rPr>
          <w:rFonts w:ascii="Times New Roman" w:eastAsia="Times New Roman" w:hAnsi="Times New Roman" w:cs="Times New Roman"/>
          <w:color w:val="000000"/>
          <w:sz w:val="28"/>
          <w:szCs w:val="28"/>
          <w:shd w:val="clear" w:color="auto" w:fill="FFFFFF"/>
          <w:lang w:eastAsia="ru-RU"/>
        </w:rPr>
        <w:t>общих принципах организации местного самоуправления в Российской Федерации», с Градостроительным кодексом Российской Федерации от</w:t>
      </w:r>
      <w:r w:rsidR="0021490D">
        <w:rPr>
          <w:rFonts w:ascii="Times New Roman" w:eastAsia="Times New Roman" w:hAnsi="Times New Roman" w:cs="Times New Roman"/>
          <w:color w:val="000000"/>
          <w:sz w:val="28"/>
          <w:szCs w:val="28"/>
          <w:shd w:val="clear" w:color="auto" w:fill="FFFFFF"/>
          <w:lang w:eastAsia="ru-RU"/>
        </w:rPr>
        <w:t> </w:t>
      </w:r>
      <w:r w:rsidRPr="00B641DB">
        <w:rPr>
          <w:rFonts w:ascii="Times New Roman" w:eastAsia="Times New Roman" w:hAnsi="Times New Roman" w:cs="Times New Roman"/>
          <w:color w:val="000000"/>
          <w:sz w:val="28"/>
          <w:szCs w:val="28"/>
          <w:shd w:val="clear" w:color="auto" w:fill="FFFFFF"/>
          <w:lang w:eastAsia="ru-RU"/>
        </w:rPr>
        <w:t xml:space="preserve">29.12.2004 N 190-ФЗ (ред. от 28.07.2012), а также в целях устойчивого развития территории </w:t>
      </w:r>
      <w:r>
        <w:rPr>
          <w:rFonts w:ascii="Times New Roman" w:eastAsia="Times New Roman" w:hAnsi="Times New Roman" w:cs="Times New Roman"/>
          <w:color w:val="000000"/>
          <w:sz w:val="28"/>
          <w:szCs w:val="28"/>
          <w:shd w:val="clear" w:color="auto" w:fill="FFFFFF"/>
          <w:lang w:eastAsia="ru-RU"/>
        </w:rPr>
        <w:t>Переясловского сельског</w:t>
      </w:r>
      <w:r w:rsidR="00EA0953">
        <w:rPr>
          <w:rFonts w:ascii="Times New Roman" w:eastAsia="Times New Roman" w:hAnsi="Times New Roman" w:cs="Times New Roman"/>
          <w:color w:val="000000"/>
          <w:sz w:val="28"/>
          <w:szCs w:val="28"/>
          <w:shd w:val="clear" w:color="auto" w:fill="FFFFFF"/>
          <w:lang w:eastAsia="ru-RU"/>
        </w:rPr>
        <w:t>о поселения Брюховецкого района</w:t>
      </w:r>
      <w:r>
        <w:rPr>
          <w:rFonts w:ascii="Times New Roman" w:eastAsia="Times New Roman" w:hAnsi="Times New Roman" w:cs="Times New Roman"/>
          <w:color w:val="000000"/>
          <w:sz w:val="28"/>
          <w:szCs w:val="28"/>
          <w:shd w:val="clear" w:color="auto" w:fill="FFFFFF"/>
          <w:lang w:eastAsia="ru-RU"/>
        </w:rPr>
        <w:t xml:space="preserve"> п о с т а н о в л я ю:</w:t>
      </w:r>
    </w:p>
    <w:p w:rsidR="00B641DB" w:rsidRDefault="00B641DB" w:rsidP="00EA0953">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shd w:val="clear" w:color="auto" w:fill="FFFFFF"/>
          <w:lang w:eastAsia="ru-RU"/>
        </w:rPr>
        <w:t>1. Утвердить ведомственную целевую программу «</w:t>
      </w:r>
      <w:r w:rsidRPr="00B641DB">
        <w:rPr>
          <w:rFonts w:ascii="Times New Roman" w:hAnsi="Times New Roman" w:cs="Times New Roman"/>
          <w:sz w:val="28"/>
          <w:szCs w:val="28"/>
        </w:rPr>
        <w:t xml:space="preserve">Подготовка проектов планировки территорий и проектов межевания земельных участков» на </w:t>
      </w:r>
      <w:r w:rsidR="0021490D">
        <w:rPr>
          <w:rFonts w:ascii="Times New Roman" w:hAnsi="Times New Roman" w:cs="Times New Roman"/>
          <w:sz w:val="28"/>
          <w:szCs w:val="28"/>
        </w:rPr>
        <w:t>201</w:t>
      </w:r>
      <w:r w:rsidR="00292E0C">
        <w:rPr>
          <w:rFonts w:ascii="Times New Roman" w:hAnsi="Times New Roman" w:cs="Times New Roman"/>
          <w:sz w:val="28"/>
          <w:szCs w:val="28"/>
        </w:rPr>
        <w:t>9</w:t>
      </w:r>
      <w:r w:rsidRPr="00B641DB">
        <w:rPr>
          <w:rFonts w:ascii="Times New Roman" w:hAnsi="Times New Roman" w:cs="Times New Roman"/>
          <w:sz w:val="28"/>
          <w:szCs w:val="28"/>
        </w:rPr>
        <w:t xml:space="preserve"> год</w:t>
      </w:r>
      <w:r>
        <w:rPr>
          <w:rFonts w:ascii="Times New Roman" w:hAnsi="Times New Roman" w:cs="Times New Roman"/>
          <w:sz w:val="28"/>
          <w:szCs w:val="28"/>
        </w:rPr>
        <w:t xml:space="preserve"> (прилагается).</w:t>
      </w:r>
    </w:p>
    <w:p w:rsidR="00EA0953" w:rsidRDefault="00EA0953" w:rsidP="00EA0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Назначить заместителя главы Переясловского сельского поселения Брюховецкого района О.А. Компаниец ответственным лицом за реализацию мероприятий ведомственной целевой программы.</w:t>
      </w:r>
    </w:p>
    <w:p w:rsidR="00B641DB" w:rsidRDefault="00EA0953" w:rsidP="00EA0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641DB">
        <w:rPr>
          <w:rFonts w:ascii="Times New Roman" w:hAnsi="Times New Roman" w:cs="Times New Roman"/>
          <w:sz w:val="28"/>
          <w:szCs w:val="28"/>
        </w:rPr>
        <w:t xml:space="preserve">. </w:t>
      </w:r>
      <w:proofErr w:type="gramStart"/>
      <w:r w:rsidR="00B641DB">
        <w:rPr>
          <w:rFonts w:ascii="Times New Roman" w:hAnsi="Times New Roman" w:cs="Times New Roman"/>
          <w:sz w:val="28"/>
          <w:szCs w:val="28"/>
        </w:rPr>
        <w:t>Контроль за</w:t>
      </w:r>
      <w:proofErr w:type="gramEnd"/>
      <w:r w:rsidR="00B641DB">
        <w:rPr>
          <w:rFonts w:ascii="Times New Roman" w:hAnsi="Times New Roman" w:cs="Times New Roman"/>
          <w:sz w:val="28"/>
          <w:szCs w:val="28"/>
        </w:rPr>
        <w:t xml:space="preserve"> выполнением настоящего постановления оставляю за собой.</w:t>
      </w:r>
    </w:p>
    <w:p w:rsidR="00B641DB" w:rsidRDefault="00EA0953" w:rsidP="00EA09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641DB">
        <w:rPr>
          <w:rFonts w:ascii="Times New Roman" w:hAnsi="Times New Roman" w:cs="Times New Roman"/>
          <w:sz w:val="28"/>
          <w:szCs w:val="28"/>
        </w:rPr>
        <w:t>.</w:t>
      </w:r>
      <w:r>
        <w:rPr>
          <w:rFonts w:ascii="Times New Roman" w:hAnsi="Times New Roman" w:cs="Times New Roman"/>
          <w:sz w:val="28"/>
          <w:szCs w:val="28"/>
        </w:rPr>
        <w:t xml:space="preserve">Настоящее постановление вступает в силу с 1 января </w:t>
      </w:r>
      <w:r w:rsidR="0021490D">
        <w:rPr>
          <w:rFonts w:ascii="Times New Roman" w:hAnsi="Times New Roman" w:cs="Times New Roman"/>
          <w:sz w:val="28"/>
          <w:szCs w:val="28"/>
        </w:rPr>
        <w:t>201</w:t>
      </w:r>
      <w:r w:rsidR="00292E0C">
        <w:rPr>
          <w:rFonts w:ascii="Times New Roman" w:hAnsi="Times New Roman" w:cs="Times New Roman"/>
          <w:sz w:val="28"/>
          <w:szCs w:val="28"/>
        </w:rPr>
        <w:t>9</w:t>
      </w:r>
      <w:r>
        <w:rPr>
          <w:rFonts w:ascii="Times New Roman" w:hAnsi="Times New Roman" w:cs="Times New Roman"/>
          <w:sz w:val="28"/>
          <w:szCs w:val="28"/>
        </w:rPr>
        <w:t xml:space="preserve"> года.</w:t>
      </w:r>
    </w:p>
    <w:p w:rsidR="00EA0953" w:rsidRDefault="00EA0953" w:rsidP="0002523C">
      <w:pPr>
        <w:spacing w:after="0" w:line="240" w:lineRule="auto"/>
        <w:jc w:val="both"/>
        <w:rPr>
          <w:rFonts w:ascii="Times New Roman" w:hAnsi="Times New Roman" w:cs="Times New Roman"/>
          <w:sz w:val="28"/>
          <w:szCs w:val="28"/>
        </w:rPr>
      </w:pPr>
    </w:p>
    <w:p w:rsidR="00EA0953" w:rsidRDefault="00EA0953" w:rsidP="0002523C">
      <w:pPr>
        <w:spacing w:after="0" w:line="240" w:lineRule="auto"/>
        <w:jc w:val="both"/>
        <w:rPr>
          <w:rFonts w:ascii="Times New Roman" w:hAnsi="Times New Roman" w:cs="Times New Roman"/>
          <w:sz w:val="28"/>
          <w:szCs w:val="28"/>
        </w:rPr>
      </w:pPr>
    </w:p>
    <w:p w:rsidR="00EA0953" w:rsidRDefault="00EA0953" w:rsidP="0002523C">
      <w:pPr>
        <w:spacing w:after="0" w:line="240" w:lineRule="auto"/>
        <w:jc w:val="both"/>
        <w:rPr>
          <w:rFonts w:ascii="Times New Roman" w:hAnsi="Times New Roman" w:cs="Times New Roman"/>
          <w:sz w:val="28"/>
          <w:szCs w:val="28"/>
        </w:rPr>
      </w:pPr>
    </w:p>
    <w:p w:rsidR="00EA0953" w:rsidRDefault="00EA0953" w:rsidP="000252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Переясловского</w:t>
      </w:r>
    </w:p>
    <w:p w:rsidR="00EA0953" w:rsidRDefault="00EA0953" w:rsidP="0002523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EA0953" w:rsidRDefault="00EA0953" w:rsidP="00EA0953">
      <w:pPr>
        <w:tabs>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t>В.В. Татарин</w:t>
      </w:r>
    </w:p>
    <w:p w:rsidR="00EA0953" w:rsidRDefault="00EA0953" w:rsidP="00EA0953">
      <w:pPr>
        <w:tabs>
          <w:tab w:val="right" w:pos="9638"/>
        </w:tabs>
        <w:spacing w:after="0" w:line="240" w:lineRule="auto"/>
        <w:jc w:val="both"/>
        <w:rPr>
          <w:rFonts w:ascii="Times New Roman" w:hAnsi="Times New Roman" w:cs="Times New Roman"/>
          <w:sz w:val="28"/>
          <w:szCs w:val="28"/>
        </w:rPr>
      </w:pPr>
    </w:p>
    <w:p w:rsidR="00EA0953" w:rsidRDefault="00EA0953" w:rsidP="00EA0953">
      <w:pPr>
        <w:tabs>
          <w:tab w:val="right" w:pos="9638"/>
        </w:tabs>
        <w:spacing w:after="0" w:line="240" w:lineRule="auto"/>
        <w:jc w:val="both"/>
        <w:rPr>
          <w:rFonts w:ascii="Times New Roman" w:hAnsi="Times New Roman" w:cs="Times New Roman"/>
          <w:sz w:val="28"/>
          <w:szCs w:val="28"/>
        </w:rPr>
      </w:pPr>
    </w:p>
    <w:p w:rsidR="00EA0953" w:rsidRDefault="00EA0953" w:rsidP="00EA0953">
      <w:pPr>
        <w:tabs>
          <w:tab w:val="right" w:pos="9638"/>
        </w:tabs>
        <w:spacing w:after="0" w:line="240" w:lineRule="auto"/>
        <w:jc w:val="both"/>
        <w:rPr>
          <w:rFonts w:ascii="Times New Roman" w:hAnsi="Times New Roman" w:cs="Times New Roman"/>
          <w:sz w:val="28"/>
          <w:szCs w:val="28"/>
        </w:rPr>
      </w:pPr>
    </w:p>
    <w:p w:rsidR="00EA0953" w:rsidRDefault="00EA0953" w:rsidP="00EA0953">
      <w:pPr>
        <w:tabs>
          <w:tab w:val="right" w:pos="9638"/>
        </w:tabs>
        <w:spacing w:after="0" w:line="240" w:lineRule="auto"/>
        <w:jc w:val="both"/>
        <w:rPr>
          <w:rFonts w:ascii="Times New Roman" w:hAnsi="Times New Roman" w:cs="Times New Roman"/>
          <w:sz w:val="28"/>
          <w:szCs w:val="28"/>
        </w:rPr>
      </w:pPr>
    </w:p>
    <w:p w:rsidR="00833D01" w:rsidRDefault="00833D01" w:rsidP="00EA0953">
      <w:pPr>
        <w:tabs>
          <w:tab w:val="right" w:pos="9638"/>
        </w:tabs>
        <w:spacing w:after="0" w:line="240" w:lineRule="auto"/>
        <w:jc w:val="both"/>
        <w:rPr>
          <w:rFonts w:ascii="Times New Roman" w:hAnsi="Times New Roman" w:cs="Times New Roman"/>
          <w:sz w:val="28"/>
          <w:szCs w:val="28"/>
        </w:rPr>
      </w:pPr>
    </w:p>
    <w:p w:rsidR="00EA0953" w:rsidRDefault="00EA0953" w:rsidP="00EA0953">
      <w:pPr>
        <w:tabs>
          <w:tab w:val="right" w:pos="9638"/>
        </w:tabs>
        <w:spacing w:after="0" w:line="240" w:lineRule="auto"/>
        <w:jc w:val="both"/>
        <w:rPr>
          <w:rFonts w:ascii="Times New Roman" w:hAnsi="Times New Roman" w:cs="Times New Roman"/>
          <w:sz w:val="28"/>
          <w:szCs w:val="28"/>
        </w:rPr>
      </w:pPr>
    </w:p>
    <w:p w:rsidR="00EA0953" w:rsidRDefault="00EA0953" w:rsidP="00EA0953">
      <w:pPr>
        <w:tabs>
          <w:tab w:val="right" w:pos="9638"/>
        </w:tabs>
        <w:spacing w:after="0" w:line="240" w:lineRule="auto"/>
        <w:jc w:val="both"/>
        <w:rPr>
          <w:rFonts w:ascii="Times New Roman" w:hAnsi="Times New Roman" w:cs="Times New Roman"/>
          <w:sz w:val="28"/>
          <w:szCs w:val="28"/>
        </w:rPr>
      </w:pPr>
    </w:p>
    <w:p w:rsidR="00EA0953" w:rsidRDefault="00EA0953" w:rsidP="00EA0953">
      <w:pPr>
        <w:tabs>
          <w:tab w:val="right" w:pos="9638"/>
        </w:tabs>
        <w:spacing w:after="0" w:line="240" w:lineRule="auto"/>
        <w:jc w:val="both"/>
        <w:rPr>
          <w:rFonts w:ascii="Times New Roman" w:hAnsi="Times New Roman" w:cs="Times New Roman"/>
          <w:sz w:val="28"/>
          <w:szCs w:val="28"/>
        </w:rPr>
      </w:pPr>
    </w:p>
    <w:p w:rsidR="00CC5A9F" w:rsidRDefault="00CC5A9F" w:rsidP="00CC5A9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C5A9F" w:rsidRDefault="00CC5A9F" w:rsidP="00CC5A9F">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ПРИЛОЖЕНИЕ</w:t>
      </w:r>
    </w:p>
    <w:p w:rsidR="00CC5A9F" w:rsidRDefault="00CC5A9F" w:rsidP="00CC5A9F">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p>
    <w:p w:rsidR="00CC5A9F" w:rsidRDefault="00CC5A9F" w:rsidP="00CC5A9F">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УТВЕРЖДЕНА</w:t>
      </w:r>
    </w:p>
    <w:p w:rsidR="00CC5A9F" w:rsidRDefault="00CC5A9F" w:rsidP="00CC5A9F">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постановлением администрации</w:t>
      </w:r>
    </w:p>
    <w:p w:rsidR="00CC5A9F" w:rsidRDefault="00CC5A9F" w:rsidP="00CC5A9F">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Переясловского сельского поселения</w:t>
      </w:r>
    </w:p>
    <w:p w:rsidR="00CC5A9F" w:rsidRDefault="00CC5A9F" w:rsidP="00CC5A9F">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Брюховецкого района</w:t>
      </w:r>
    </w:p>
    <w:p w:rsidR="00CC5A9F" w:rsidRDefault="00CC5A9F" w:rsidP="00CC5A9F">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от 23.10.2018 № 137</w:t>
      </w:r>
    </w:p>
    <w:p w:rsidR="00CC5A9F" w:rsidRDefault="00CC5A9F" w:rsidP="00CC5A9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C5A9F" w:rsidRDefault="00CC5A9F" w:rsidP="00CC5A9F">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CC5A9F" w:rsidRDefault="00CC5A9F" w:rsidP="00CC5A9F">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ВЕДОМСТВЕННАЯ ЦЕЛЕВАЯ ПРОГРАММА</w:t>
      </w:r>
    </w:p>
    <w:p w:rsidR="00CC5A9F" w:rsidRDefault="00CC5A9F" w:rsidP="00CC5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«Подготовка проектов планировки территорий и проектов межевания земельных участков» на 2019 год</w:t>
      </w:r>
    </w:p>
    <w:p w:rsidR="00CC5A9F" w:rsidRDefault="00CC5A9F" w:rsidP="00CC5A9F">
      <w:pPr>
        <w:spacing w:after="0" w:line="240" w:lineRule="auto"/>
        <w:jc w:val="center"/>
        <w:rPr>
          <w:rFonts w:ascii="Times New Roman" w:hAnsi="Times New Roman" w:cs="Times New Roman"/>
          <w:b/>
          <w:sz w:val="28"/>
          <w:szCs w:val="28"/>
        </w:rPr>
      </w:pPr>
    </w:p>
    <w:p w:rsidR="00CC5A9F" w:rsidRDefault="00CC5A9F" w:rsidP="00CC5A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w:t>
      </w:r>
    </w:p>
    <w:p w:rsidR="00CC5A9F" w:rsidRDefault="00CC5A9F" w:rsidP="00CC5A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ведомственной целевой программы «Подготовка проектов планировки территорий и проектов межевания земельных участков» на 2019 год</w:t>
      </w:r>
    </w:p>
    <w:p w:rsidR="00CC5A9F" w:rsidRDefault="00CC5A9F" w:rsidP="00CC5A9F">
      <w:pPr>
        <w:spacing w:after="0" w:line="240" w:lineRule="auto"/>
        <w:jc w:val="center"/>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2494"/>
        <w:gridCol w:w="1471"/>
        <w:gridCol w:w="1512"/>
        <w:gridCol w:w="1620"/>
      </w:tblGrid>
      <w:tr w:rsidR="00CC5A9F" w:rsidTr="00CC5A9F">
        <w:trPr>
          <w:trHeight w:val="315"/>
        </w:trPr>
        <w:tc>
          <w:tcPr>
            <w:tcW w:w="3151" w:type="dxa"/>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Программы</w:t>
            </w:r>
          </w:p>
        </w:tc>
        <w:tc>
          <w:tcPr>
            <w:tcW w:w="6703" w:type="dxa"/>
            <w:gridSpan w:val="4"/>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Ведомственная целевая программа «Подготовка проектов планировки территорий и проектов межевания земельных участков» на 2019 год</w:t>
            </w:r>
          </w:p>
        </w:tc>
      </w:tr>
      <w:tr w:rsidR="00CC5A9F" w:rsidTr="00CC5A9F">
        <w:trPr>
          <w:trHeight w:val="315"/>
        </w:trPr>
        <w:tc>
          <w:tcPr>
            <w:tcW w:w="3151" w:type="dxa"/>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Основания для разработки</w:t>
            </w:r>
          </w:p>
        </w:tc>
        <w:tc>
          <w:tcPr>
            <w:tcW w:w="6703" w:type="dxa"/>
            <w:gridSpan w:val="4"/>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Федеральный закон от 06.10.2003г. №131-ФЗ «Об общих принципах организации местного самоуправления в Российской Федерации», с Градостроительным кодексом Российской Федерации от 29.12.2004 N 190-ФЗ (ред. от 28.07.2012)</w:t>
            </w:r>
          </w:p>
        </w:tc>
      </w:tr>
      <w:tr w:rsidR="00CC5A9F" w:rsidTr="00CC5A9F">
        <w:trPr>
          <w:trHeight w:val="630"/>
        </w:trPr>
        <w:tc>
          <w:tcPr>
            <w:tcW w:w="3151" w:type="dxa"/>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субъекта бюджетного планирования</w:t>
            </w:r>
          </w:p>
        </w:tc>
        <w:tc>
          <w:tcPr>
            <w:tcW w:w="6703" w:type="dxa"/>
            <w:gridSpan w:val="4"/>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Переясловского сельского поселения Брюховецкого района</w:t>
            </w:r>
          </w:p>
        </w:tc>
      </w:tr>
      <w:tr w:rsidR="00CC5A9F" w:rsidTr="00CC5A9F">
        <w:trPr>
          <w:trHeight w:val="345"/>
        </w:trPr>
        <w:tc>
          <w:tcPr>
            <w:tcW w:w="3151" w:type="dxa"/>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Цель и задачи Программы</w:t>
            </w:r>
          </w:p>
        </w:tc>
        <w:tc>
          <w:tcPr>
            <w:tcW w:w="6703" w:type="dxa"/>
            <w:gridSpan w:val="4"/>
            <w:hideMark/>
          </w:tcPr>
          <w:p w:rsidR="00CC5A9F" w:rsidRDefault="00CC5A9F">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повышение эффективности использования земли, создание условий для увеличения социального, инвестиционного, производительного потенциала земли.</w:t>
            </w:r>
          </w:p>
          <w:p w:rsidR="00CC5A9F" w:rsidRDefault="00CC5A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 проведение землеустроительных мероприятий;</w:t>
            </w:r>
          </w:p>
          <w:p w:rsidR="00CC5A9F" w:rsidRDefault="00CC5A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информационное наполнение государственного кадастра недвижимости по </w:t>
            </w:r>
            <w:proofErr w:type="spellStart"/>
            <w:r>
              <w:rPr>
                <w:rFonts w:ascii="Times New Roman" w:eastAsia="Times New Roman" w:hAnsi="Times New Roman" w:cs="Times New Roman"/>
                <w:sz w:val="28"/>
                <w:szCs w:val="28"/>
                <w:lang w:eastAsia="ru-RU"/>
              </w:rPr>
              <w:t>Переясловскому</w:t>
            </w:r>
            <w:proofErr w:type="spellEnd"/>
            <w:r>
              <w:rPr>
                <w:rFonts w:ascii="Times New Roman" w:eastAsia="Times New Roman" w:hAnsi="Times New Roman" w:cs="Times New Roman"/>
                <w:sz w:val="28"/>
                <w:szCs w:val="28"/>
                <w:lang w:eastAsia="ru-RU"/>
              </w:rPr>
              <w:t xml:space="preserve"> сельскому поселению;</w:t>
            </w:r>
          </w:p>
          <w:p w:rsidR="00CC5A9F" w:rsidRDefault="00CC5A9F">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разграничение земель - регистрация права собственности Переясловского сельского поселения Брюховецкого района на земельные участки;</w:t>
            </w:r>
          </w:p>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перераспределение земли и передача ее эффективным хозяйствующим субъектам</w:t>
            </w:r>
          </w:p>
        </w:tc>
      </w:tr>
      <w:tr w:rsidR="00CC5A9F" w:rsidTr="00CC5A9F">
        <w:trPr>
          <w:trHeight w:val="675"/>
        </w:trPr>
        <w:tc>
          <w:tcPr>
            <w:tcW w:w="3151" w:type="dxa"/>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Сроки и этапы реализации Программы</w:t>
            </w:r>
          </w:p>
        </w:tc>
        <w:tc>
          <w:tcPr>
            <w:tcW w:w="6703" w:type="dxa"/>
            <w:gridSpan w:val="4"/>
            <w:tcBorders>
              <w:top w:val="nil"/>
              <w:left w:val="nil"/>
              <w:bottom w:val="single" w:sz="4" w:space="0" w:color="auto"/>
              <w:right w:val="nil"/>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2019 год</w:t>
            </w:r>
          </w:p>
        </w:tc>
      </w:tr>
      <w:tr w:rsidR="00CC5A9F" w:rsidTr="00CC5A9F">
        <w:trPr>
          <w:trHeight w:val="375"/>
        </w:trPr>
        <w:tc>
          <w:tcPr>
            <w:tcW w:w="3151" w:type="dxa"/>
            <w:vMerge w:val="restart"/>
            <w:tcBorders>
              <w:top w:val="nil"/>
              <w:left w:val="nil"/>
              <w:bottom w:val="nil"/>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Объемы и источники </w:t>
            </w:r>
            <w:r>
              <w:rPr>
                <w:rFonts w:ascii="Times New Roman" w:eastAsia="Times New Roman" w:hAnsi="Times New Roman" w:cs="Times New Roman"/>
                <w:color w:val="000000"/>
                <w:sz w:val="28"/>
                <w:szCs w:val="28"/>
                <w:shd w:val="clear" w:color="auto" w:fill="FFFFFF"/>
                <w:lang w:eastAsia="ru-RU"/>
              </w:rPr>
              <w:lastRenderedPageBreak/>
              <w:t>финансирования Программы</w:t>
            </w:r>
          </w:p>
        </w:tc>
        <w:tc>
          <w:tcPr>
            <w:tcW w:w="3436" w:type="dxa"/>
            <w:gridSpan w:val="2"/>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Источник финансирования</w:t>
            </w:r>
          </w:p>
        </w:tc>
        <w:tc>
          <w:tcPr>
            <w:tcW w:w="3267" w:type="dxa"/>
            <w:gridSpan w:val="2"/>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Объем финансирования </w:t>
            </w:r>
            <w:r>
              <w:rPr>
                <w:rFonts w:ascii="Times New Roman" w:eastAsia="Times New Roman" w:hAnsi="Times New Roman" w:cs="Times New Roman"/>
                <w:color w:val="000000"/>
                <w:sz w:val="28"/>
                <w:szCs w:val="28"/>
                <w:shd w:val="clear" w:color="auto" w:fill="FFFFFF"/>
                <w:lang w:eastAsia="ru-RU"/>
              </w:rPr>
              <w:lastRenderedPageBreak/>
              <w:t>(тыс. руб.)</w:t>
            </w:r>
          </w:p>
        </w:tc>
      </w:tr>
      <w:tr w:rsidR="00CC5A9F" w:rsidTr="00CC5A9F">
        <w:trPr>
          <w:trHeight w:val="300"/>
        </w:trPr>
        <w:tc>
          <w:tcPr>
            <w:tcW w:w="0" w:type="auto"/>
            <w:vMerge/>
            <w:tcBorders>
              <w:top w:val="nil"/>
              <w:left w:val="nil"/>
              <w:bottom w:val="nil"/>
              <w:right w:val="single" w:sz="4" w:space="0" w:color="auto"/>
            </w:tcBorders>
            <w:vAlign w:val="center"/>
            <w:hideMark/>
          </w:tcPr>
          <w:p w:rsidR="00CC5A9F" w:rsidRDefault="00CC5A9F">
            <w:pPr>
              <w:rPr>
                <w:rFonts w:ascii="Times New Roman" w:eastAsia="Times New Roman" w:hAnsi="Times New Roman" w:cs="Times New Roman"/>
                <w:color w:val="000000"/>
                <w:sz w:val="28"/>
                <w:szCs w:val="28"/>
                <w:shd w:val="clear" w:color="auto" w:fill="FFFFFF"/>
                <w:lang w:eastAsia="ru-RU"/>
              </w:rPr>
            </w:pPr>
          </w:p>
        </w:tc>
        <w:tc>
          <w:tcPr>
            <w:tcW w:w="3436" w:type="dxa"/>
            <w:gridSpan w:val="2"/>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Местный бюджет</w:t>
            </w:r>
          </w:p>
        </w:tc>
        <w:tc>
          <w:tcPr>
            <w:tcW w:w="3267" w:type="dxa"/>
            <w:gridSpan w:val="2"/>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20,0</w:t>
            </w:r>
          </w:p>
        </w:tc>
      </w:tr>
      <w:tr w:rsidR="00CC5A9F" w:rsidTr="00CC5A9F">
        <w:trPr>
          <w:trHeight w:val="270"/>
        </w:trPr>
        <w:tc>
          <w:tcPr>
            <w:tcW w:w="0" w:type="auto"/>
            <w:vMerge/>
            <w:tcBorders>
              <w:top w:val="nil"/>
              <w:left w:val="nil"/>
              <w:bottom w:val="nil"/>
              <w:right w:val="single" w:sz="4" w:space="0" w:color="auto"/>
            </w:tcBorders>
            <w:vAlign w:val="center"/>
            <w:hideMark/>
          </w:tcPr>
          <w:p w:rsidR="00CC5A9F" w:rsidRDefault="00CC5A9F">
            <w:pPr>
              <w:rPr>
                <w:rFonts w:ascii="Times New Roman" w:eastAsia="Times New Roman" w:hAnsi="Times New Roman" w:cs="Times New Roman"/>
                <w:color w:val="000000"/>
                <w:sz w:val="28"/>
                <w:szCs w:val="28"/>
                <w:shd w:val="clear" w:color="auto" w:fill="FFFFFF"/>
                <w:lang w:eastAsia="ru-RU"/>
              </w:rPr>
            </w:pPr>
          </w:p>
        </w:tc>
        <w:tc>
          <w:tcPr>
            <w:tcW w:w="3436" w:type="dxa"/>
            <w:gridSpan w:val="2"/>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Итого</w:t>
            </w:r>
          </w:p>
        </w:tc>
        <w:tc>
          <w:tcPr>
            <w:tcW w:w="3267" w:type="dxa"/>
            <w:gridSpan w:val="2"/>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20,0</w:t>
            </w:r>
          </w:p>
        </w:tc>
      </w:tr>
      <w:tr w:rsidR="00CC5A9F" w:rsidTr="00CC5A9F">
        <w:trPr>
          <w:trHeight w:val="1305"/>
        </w:trPr>
        <w:tc>
          <w:tcPr>
            <w:tcW w:w="3151" w:type="dxa"/>
            <w:vMerge w:val="restart"/>
            <w:tcBorders>
              <w:top w:val="nil"/>
              <w:left w:val="nil"/>
              <w:bottom w:val="nil"/>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Индикаторы целей программы</w:t>
            </w:r>
          </w:p>
        </w:tc>
        <w:tc>
          <w:tcPr>
            <w:tcW w:w="1965"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индикатора целей Программы</w:t>
            </w:r>
          </w:p>
        </w:tc>
        <w:tc>
          <w:tcPr>
            <w:tcW w:w="1471"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Единица измерения</w:t>
            </w:r>
          </w:p>
        </w:tc>
        <w:tc>
          <w:tcPr>
            <w:tcW w:w="1647"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Значения в 2018 г.</w:t>
            </w:r>
          </w:p>
        </w:tc>
        <w:tc>
          <w:tcPr>
            <w:tcW w:w="1620"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1-й год реализации Программы</w:t>
            </w:r>
          </w:p>
        </w:tc>
      </w:tr>
      <w:tr w:rsidR="00CC5A9F" w:rsidTr="00CC5A9F">
        <w:trPr>
          <w:trHeight w:val="290"/>
        </w:trPr>
        <w:tc>
          <w:tcPr>
            <w:tcW w:w="0" w:type="auto"/>
            <w:vMerge/>
            <w:tcBorders>
              <w:top w:val="nil"/>
              <w:left w:val="nil"/>
              <w:bottom w:val="nil"/>
              <w:right w:val="single" w:sz="4" w:space="0" w:color="auto"/>
            </w:tcBorders>
            <w:vAlign w:val="center"/>
            <w:hideMark/>
          </w:tcPr>
          <w:p w:rsidR="00CC5A9F" w:rsidRDefault="00CC5A9F">
            <w:pPr>
              <w:rPr>
                <w:rFonts w:ascii="Times New Roman" w:eastAsia="Times New Roman" w:hAnsi="Times New Roman" w:cs="Times New Roman"/>
                <w:color w:val="000000"/>
                <w:sz w:val="28"/>
                <w:szCs w:val="28"/>
                <w:shd w:val="clear" w:color="auto" w:fill="FFFFFF"/>
                <w:lang w:eastAsia="ru-RU"/>
              </w:rPr>
            </w:pPr>
          </w:p>
        </w:tc>
        <w:tc>
          <w:tcPr>
            <w:tcW w:w="1965"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Обеспечение прав граждан по оформлению в установленном законодательством Российской Федерации порядке права собственности на земельные участки сельхоз назначения</w:t>
            </w:r>
          </w:p>
        </w:tc>
        <w:tc>
          <w:tcPr>
            <w:tcW w:w="1471"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p>
        </w:tc>
        <w:tc>
          <w:tcPr>
            <w:tcW w:w="1647"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85</w:t>
            </w:r>
          </w:p>
        </w:tc>
        <w:tc>
          <w:tcPr>
            <w:tcW w:w="1620"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100,0</w:t>
            </w:r>
          </w:p>
        </w:tc>
      </w:tr>
    </w:tbl>
    <w:p w:rsidR="00CC5A9F" w:rsidRDefault="00CC5A9F" w:rsidP="00CC5A9F">
      <w:pPr>
        <w:spacing w:after="0" w:line="240" w:lineRule="auto"/>
        <w:jc w:val="center"/>
        <w:rPr>
          <w:rFonts w:ascii="Times New Roman" w:eastAsia="Times New Roman" w:hAnsi="Times New Roman" w:cs="Times New Roman"/>
          <w:b/>
          <w:bCs/>
          <w:color w:val="000000"/>
          <w:sz w:val="28"/>
          <w:szCs w:val="28"/>
          <w:lang w:eastAsia="ru-RU"/>
        </w:rPr>
      </w:pPr>
    </w:p>
    <w:p w:rsidR="00CC5A9F" w:rsidRDefault="00CC5A9F" w:rsidP="00CC5A9F">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1. Характеристика проблемы и обоснование необходимости ее решения программным методом</w:t>
      </w:r>
    </w:p>
    <w:p w:rsidR="00CC5A9F" w:rsidRDefault="00CC5A9F" w:rsidP="00CC5A9F">
      <w:pPr>
        <w:spacing w:after="0" w:line="240" w:lineRule="auto"/>
        <w:jc w:val="center"/>
        <w:rPr>
          <w:rFonts w:ascii="Times New Roman" w:eastAsia="Times New Roman" w:hAnsi="Times New Roman" w:cs="Times New Roman"/>
          <w:color w:val="000000"/>
          <w:sz w:val="28"/>
          <w:szCs w:val="28"/>
          <w:lang w:eastAsia="ru-RU"/>
        </w:rPr>
      </w:pP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Ведомственная целевая программа </w:t>
      </w:r>
      <w:r>
        <w:rPr>
          <w:rFonts w:ascii="Times New Roman" w:hAnsi="Times New Roman" w:cs="Times New Roman"/>
          <w:sz w:val="28"/>
          <w:szCs w:val="28"/>
        </w:rPr>
        <w:t>«Подготовка проектов планировки территорий и проектов межевания земельных участков» на 2017 год</w:t>
      </w:r>
      <w:r>
        <w:rPr>
          <w:rFonts w:ascii="Times New Roman" w:eastAsia="Times New Roman" w:hAnsi="Times New Roman" w:cs="Times New Roman"/>
          <w:color w:val="000000"/>
          <w:sz w:val="28"/>
          <w:szCs w:val="28"/>
          <w:lang w:eastAsia="ru-RU"/>
        </w:rPr>
        <w:t xml:space="preserve"> 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национальной экономики, повышения благосостояния граждан, обеспечения государственных гарантий прав собственности и иных вещных прав на недвижимое имущество, формирования полного и достоверного источника информации о земельных участках и</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объектах</w:t>
      </w:r>
      <w:proofErr w:type="gramEnd"/>
      <w:r>
        <w:rPr>
          <w:rFonts w:ascii="Times New Roman" w:eastAsia="Times New Roman" w:hAnsi="Times New Roman" w:cs="Times New Roman"/>
          <w:color w:val="000000"/>
          <w:sz w:val="28"/>
          <w:szCs w:val="28"/>
          <w:lang w:eastAsia="ru-RU"/>
        </w:rPr>
        <w:t xml:space="preserve"> недвижимости, а также на совершенствование муниципальных услуг, оказываемых организациям и гражданам.</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настоящее время учет земли и иной недвижимости разделены, что существенно увеличивает временные затраты правообладателей при учете недвижимости и регистрации прав на нее.</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Сведения о земельных участках, в том числе о площади участка, местоположении его границ, кадастровой стоимости содержатся в государственном кадастре недвижимости автономного округа. Данная информация должна быть достоверной, в </w:t>
      </w:r>
      <w:proofErr w:type="gramStart"/>
      <w:r>
        <w:rPr>
          <w:rFonts w:ascii="Times New Roman" w:eastAsia="Times New Roman" w:hAnsi="Times New Roman" w:cs="Times New Roman"/>
          <w:color w:val="000000"/>
          <w:sz w:val="28"/>
          <w:szCs w:val="28"/>
          <w:lang w:eastAsia="ru-RU"/>
        </w:rPr>
        <w:t>связи</w:t>
      </w:r>
      <w:proofErr w:type="gramEnd"/>
      <w:r>
        <w:rPr>
          <w:rFonts w:ascii="Times New Roman" w:eastAsia="Times New Roman" w:hAnsi="Times New Roman" w:cs="Times New Roman"/>
          <w:color w:val="000000"/>
          <w:sz w:val="28"/>
          <w:szCs w:val="28"/>
          <w:lang w:eastAsia="ru-RU"/>
        </w:rPr>
        <w:t xml:space="preserve"> с чем нуждается в постоянном обновлении.</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Одним из источников для обновления сведений государственного кадастра недвижимости выступает картографический материал, полученный в результате проведения топографической съемки, и кадастровых работ.</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Анализ существующего картографического материала показывает, что имеющаяся топографическая съемка 20% населенных пунктов сельского поселения утратила актуальность и требует обновления. Зачастую работы 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системах координат, в связи с чем, получаемый картографический материал носит локальный характер и, как правило, не увязан между собой и не сводим в единую систему.</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 согласованием границ земельных участков и объектов недвижимости. Анализ сведений об учтенных земельных участках и объектах недвижимости показывает, что имеется немало неточностей и погрешностей в данных по одним и тем же объектам, а также дублирование информации о них в различных ведомствах.</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Указанные недостатки сказываются на инвестиционной политике в районе, и сельских поселениях, усложняют процесс купли-продажи земельных участков, затрудняют расчет сумм налогов.</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Федеральный закон от 30.06.2006г.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направлен на обеспечение прав граждан по оформлению прав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Статьей 12 указанного закона предусмотрено, что органы исполнительной власти субъектов Российской Федерации в целях оформления в упрощенном порядке прав граждан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w:t>
      </w:r>
      <w:proofErr w:type="gramEnd"/>
      <w:r>
        <w:rPr>
          <w:rFonts w:ascii="Times New Roman" w:eastAsia="Times New Roman" w:hAnsi="Times New Roman" w:cs="Times New Roman"/>
          <w:color w:val="000000"/>
          <w:sz w:val="28"/>
          <w:szCs w:val="28"/>
          <w:lang w:eastAsia="ru-RU"/>
        </w:rPr>
        <w:t xml:space="preserve"> для осуществления государственного кадастрового учета сведения о таких земельных участках. Всего в результате выполнения работ будет поставлено на государственный кадастровый учет и зарегистрировано в собственность граждан 63 участка, из подлежащих регистрации 124 земельных участка.</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соответствии с п.4 ст.16 Федерального закона от 29.12.2004г.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В настоящее </w:t>
      </w:r>
      <w:r>
        <w:rPr>
          <w:rFonts w:ascii="Times New Roman" w:eastAsia="Times New Roman" w:hAnsi="Times New Roman" w:cs="Times New Roman"/>
          <w:color w:val="000000"/>
          <w:sz w:val="28"/>
          <w:szCs w:val="28"/>
          <w:lang w:eastAsia="ru-RU"/>
        </w:rPr>
        <w:lastRenderedPageBreak/>
        <w:t>время на территории района ни один земельный участок занятый многоквартирным домом не облагается земельным налогом.</w:t>
      </w:r>
    </w:p>
    <w:p w:rsidR="00CC5A9F" w:rsidRDefault="00CC5A9F" w:rsidP="00CC5A9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сельском поселении существует проблема с длительностью сроков оформления </w:t>
      </w:r>
      <w:proofErr w:type="gramStart"/>
      <w:r>
        <w:rPr>
          <w:rFonts w:ascii="Times New Roman" w:eastAsia="Times New Roman" w:hAnsi="Times New Roman" w:cs="Times New Roman"/>
          <w:color w:val="000000"/>
          <w:sz w:val="28"/>
          <w:szCs w:val="28"/>
          <w:lang w:eastAsia="ru-RU"/>
        </w:rPr>
        <w:t>прав</w:t>
      </w:r>
      <w:proofErr w:type="gramEnd"/>
      <w:r>
        <w:rPr>
          <w:rFonts w:ascii="Times New Roman" w:eastAsia="Times New Roman" w:hAnsi="Times New Roman" w:cs="Times New Roman"/>
          <w:color w:val="000000"/>
          <w:sz w:val="28"/>
          <w:szCs w:val="28"/>
          <w:lang w:eastAsia="ru-RU"/>
        </w:rPr>
        <w:t xml:space="preserve"> на земельные участки предоставляемые для сельскохозяйственных нужд.</w:t>
      </w:r>
    </w:p>
    <w:p w:rsidR="00CC5A9F" w:rsidRDefault="00CC5A9F" w:rsidP="00CC5A9F">
      <w:pPr>
        <w:spacing w:after="0" w:line="240" w:lineRule="auto"/>
        <w:jc w:val="both"/>
        <w:rPr>
          <w:rFonts w:ascii="Times New Roman" w:eastAsia="Times New Roman" w:hAnsi="Times New Roman" w:cs="Times New Roman"/>
          <w:color w:val="000000"/>
          <w:sz w:val="28"/>
          <w:szCs w:val="28"/>
          <w:lang w:eastAsia="ru-RU"/>
        </w:rPr>
      </w:pPr>
    </w:p>
    <w:p w:rsidR="00CC5A9F" w:rsidRDefault="00CC5A9F" w:rsidP="00CC5A9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 Перечень и описание программных мероприятий</w:t>
      </w:r>
    </w:p>
    <w:p w:rsidR="00CC5A9F" w:rsidRDefault="00CC5A9F" w:rsidP="00CC5A9F">
      <w:pPr>
        <w:spacing w:after="0" w:line="240" w:lineRule="auto"/>
        <w:jc w:val="center"/>
        <w:rPr>
          <w:rFonts w:ascii="Times New Roman" w:eastAsia="Times New Roman" w:hAnsi="Times New Roman" w:cs="Times New Roman"/>
          <w:color w:val="000000"/>
          <w:sz w:val="28"/>
          <w:szCs w:val="28"/>
          <w:lang w:eastAsia="ru-RU"/>
        </w:rPr>
      </w:pPr>
    </w:p>
    <w:p w:rsidR="00CC5A9F" w:rsidRDefault="00CC5A9F" w:rsidP="00CC5A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Перечень и описание программных мероприятий</w:t>
      </w:r>
    </w:p>
    <w:p w:rsidR="00CC5A9F" w:rsidRDefault="00CC5A9F" w:rsidP="00CC5A9F">
      <w:pPr>
        <w:spacing w:after="0" w:line="240" w:lineRule="auto"/>
        <w:jc w:val="both"/>
        <w:rPr>
          <w:rFonts w:ascii="Times New Roman" w:eastAsia="Times New Roman" w:hAnsi="Times New Roman" w:cs="Times New Roman"/>
          <w:color w:val="000000"/>
          <w:sz w:val="28"/>
          <w:szCs w:val="28"/>
          <w:lang w:eastAsia="ru-RU"/>
        </w:rPr>
      </w:pPr>
    </w:p>
    <w:tbl>
      <w:tblPr>
        <w:tblStyle w:val="ac"/>
        <w:tblW w:w="0" w:type="auto"/>
        <w:tblLook w:val="04A0" w:firstRow="1" w:lastRow="0" w:firstColumn="1" w:lastColumn="0" w:noHBand="0" w:noVBand="1"/>
      </w:tblPr>
      <w:tblGrid>
        <w:gridCol w:w="846"/>
        <w:gridCol w:w="2161"/>
        <w:gridCol w:w="1732"/>
        <w:gridCol w:w="1572"/>
        <w:gridCol w:w="1926"/>
        <w:gridCol w:w="1617"/>
      </w:tblGrid>
      <w:tr w:rsidR="00CC5A9F" w:rsidTr="00CC5A9F">
        <w:tc>
          <w:tcPr>
            <w:tcW w:w="959"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/п</w:t>
            </w:r>
          </w:p>
        </w:tc>
        <w:tc>
          <w:tcPr>
            <w:tcW w:w="2325"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мероприятия</w:t>
            </w:r>
          </w:p>
        </w:tc>
        <w:tc>
          <w:tcPr>
            <w:tcW w:w="1642"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Описание мероприятия</w:t>
            </w:r>
          </w:p>
        </w:tc>
        <w:tc>
          <w:tcPr>
            <w:tcW w:w="1642"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реализации (год)</w:t>
            </w:r>
          </w:p>
        </w:tc>
        <w:tc>
          <w:tcPr>
            <w:tcW w:w="1643"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Объем финансирования (тыс. руб.)</w:t>
            </w:r>
          </w:p>
        </w:tc>
        <w:tc>
          <w:tcPr>
            <w:tcW w:w="1643"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 реализации мероприятия</w:t>
            </w:r>
          </w:p>
        </w:tc>
      </w:tr>
      <w:tr w:rsidR="00CC5A9F" w:rsidTr="00CC5A9F">
        <w:tc>
          <w:tcPr>
            <w:tcW w:w="959"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325"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rPr>
              <w:t>Подготовка проектов межевания земельных участков, установка межевых знаков</w:t>
            </w:r>
          </w:p>
        </w:tc>
        <w:tc>
          <w:tcPr>
            <w:tcW w:w="1642"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обеспечения собственников границами земельных участков сельхоз назначения</w:t>
            </w:r>
          </w:p>
        </w:tc>
        <w:tc>
          <w:tcPr>
            <w:tcW w:w="1642"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2019</w:t>
            </w:r>
          </w:p>
        </w:tc>
        <w:tc>
          <w:tcPr>
            <w:tcW w:w="1643"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643"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исполнения решения суда по земельным участкам сельхоз назначения</w:t>
            </w:r>
          </w:p>
        </w:tc>
      </w:tr>
    </w:tbl>
    <w:p w:rsidR="00CC5A9F" w:rsidRDefault="00CC5A9F" w:rsidP="00CC5A9F">
      <w:pPr>
        <w:spacing w:after="0" w:line="240" w:lineRule="auto"/>
        <w:jc w:val="both"/>
        <w:rPr>
          <w:rFonts w:ascii="Times New Roman" w:eastAsia="Times New Roman" w:hAnsi="Times New Roman" w:cs="Times New Roman"/>
          <w:color w:val="000000"/>
          <w:sz w:val="28"/>
          <w:szCs w:val="28"/>
          <w:lang w:eastAsia="ru-RU"/>
        </w:rPr>
      </w:pPr>
    </w:p>
    <w:p w:rsidR="00CC5A9F" w:rsidRDefault="00CC5A9F" w:rsidP="00CC5A9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 Управление Программой и механизм ее реализации</w:t>
      </w:r>
    </w:p>
    <w:p w:rsidR="00CC5A9F" w:rsidRDefault="00CC5A9F" w:rsidP="00CC5A9F">
      <w:pPr>
        <w:spacing w:after="0" w:line="240" w:lineRule="auto"/>
        <w:jc w:val="both"/>
        <w:rPr>
          <w:rFonts w:ascii="Times New Roman" w:eastAsia="Times New Roman" w:hAnsi="Times New Roman" w:cs="Times New Roman"/>
          <w:color w:val="000000"/>
          <w:sz w:val="28"/>
          <w:szCs w:val="28"/>
          <w:lang w:eastAsia="ru-RU"/>
        </w:rPr>
      </w:pPr>
    </w:p>
    <w:p w:rsidR="00CC5A9F" w:rsidRDefault="00CC5A9F" w:rsidP="00CC5A9F">
      <w:pPr>
        <w:pStyle w:val="ab"/>
        <w:spacing w:before="0" w:beforeAutospacing="0" w:after="0" w:afterAutospacing="0"/>
        <w:ind w:firstLine="709"/>
        <w:jc w:val="both"/>
        <w:rPr>
          <w:sz w:val="28"/>
          <w:szCs w:val="28"/>
        </w:rPr>
      </w:pPr>
      <w:r>
        <w:rPr>
          <w:sz w:val="28"/>
          <w:szCs w:val="28"/>
        </w:rPr>
        <w:t>Управление Программой осуществляет администрации Переясловского сельского поселения Брюховецкого района. Подведение текущих результатов реализации Программы, отслеживание количественных и качественных итогов, подготовка ежеквартальных и годовых отчетов по реализации Программы возлагаются на бухгалтерский орган Переясловского сельского поселения.</w:t>
      </w:r>
    </w:p>
    <w:p w:rsidR="00CC5A9F" w:rsidRDefault="00CC5A9F" w:rsidP="00CC5A9F">
      <w:pPr>
        <w:pStyle w:val="ab"/>
        <w:spacing w:before="0" w:beforeAutospacing="0" w:after="0" w:afterAutospacing="0"/>
        <w:ind w:firstLine="709"/>
        <w:jc w:val="both"/>
        <w:rPr>
          <w:sz w:val="28"/>
          <w:szCs w:val="28"/>
        </w:rPr>
      </w:pPr>
      <w:r>
        <w:rPr>
          <w:sz w:val="28"/>
          <w:szCs w:val="28"/>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p>
    <w:p w:rsidR="00CC5A9F" w:rsidRDefault="00CC5A9F" w:rsidP="00CC5A9F">
      <w:pPr>
        <w:spacing w:after="0" w:line="240" w:lineRule="auto"/>
        <w:jc w:val="both"/>
        <w:rPr>
          <w:rFonts w:ascii="Times New Roman" w:eastAsia="Times New Roman" w:hAnsi="Times New Roman" w:cs="Times New Roman"/>
          <w:color w:val="000000"/>
          <w:sz w:val="28"/>
          <w:szCs w:val="28"/>
          <w:lang w:eastAsia="ru-RU"/>
        </w:rPr>
      </w:pPr>
    </w:p>
    <w:p w:rsidR="00CC5A9F" w:rsidRDefault="00CC5A9F" w:rsidP="00CC5A9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 Индикаторы целевой Программы</w:t>
      </w:r>
    </w:p>
    <w:p w:rsidR="00CC5A9F" w:rsidRDefault="00CC5A9F" w:rsidP="00CC5A9F">
      <w:pPr>
        <w:spacing w:after="0" w:line="240" w:lineRule="auto"/>
        <w:jc w:val="both"/>
        <w:rPr>
          <w:rFonts w:ascii="Times New Roman" w:eastAsia="Times New Roman" w:hAnsi="Times New Roman" w:cs="Times New Roman"/>
          <w:color w:val="000000"/>
          <w:sz w:val="28"/>
          <w:szCs w:val="28"/>
          <w:lang w:eastAsia="ru-RU"/>
        </w:rPr>
      </w:pPr>
    </w:p>
    <w:p w:rsidR="00CC5A9F" w:rsidRDefault="00CC5A9F" w:rsidP="00CC5A9F">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 Индикаторы целей программы</w:t>
      </w: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099"/>
        <w:gridCol w:w="2350"/>
        <w:gridCol w:w="2311"/>
      </w:tblGrid>
      <w:tr w:rsidR="00CC5A9F" w:rsidTr="00CC5A9F">
        <w:trPr>
          <w:trHeight w:val="553"/>
        </w:trPr>
        <w:tc>
          <w:tcPr>
            <w:tcW w:w="3094"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Наименование индикатора целей Программы</w:t>
            </w:r>
          </w:p>
        </w:tc>
        <w:tc>
          <w:tcPr>
            <w:tcW w:w="2099"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Единица измерения</w:t>
            </w:r>
          </w:p>
        </w:tc>
        <w:tc>
          <w:tcPr>
            <w:tcW w:w="2350"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Значения в 2018 г.</w:t>
            </w:r>
          </w:p>
        </w:tc>
        <w:tc>
          <w:tcPr>
            <w:tcW w:w="2311"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1-й год реализации Программы</w:t>
            </w:r>
          </w:p>
        </w:tc>
      </w:tr>
      <w:tr w:rsidR="00CC5A9F" w:rsidTr="00CC5A9F">
        <w:trPr>
          <w:trHeight w:val="290"/>
        </w:trPr>
        <w:tc>
          <w:tcPr>
            <w:tcW w:w="3094" w:type="dxa"/>
            <w:tcBorders>
              <w:top w:val="single" w:sz="4" w:space="0" w:color="auto"/>
              <w:left w:val="single" w:sz="4" w:space="0" w:color="auto"/>
              <w:bottom w:val="single" w:sz="4" w:space="0" w:color="auto"/>
              <w:right w:val="single" w:sz="4" w:space="0" w:color="auto"/>
            </w:tcBorders>
            <w:hideMark/>
          </w:tcPr>
          <w:p w:rsidR="00CC5A9F" w:rsidRDefault="00CC5A9F">
            <w:pPr>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sz w:val="24"/>
                <w:szCs w:val="24"/>
                <w:lang w:eastAsia="ru-RU"/>
              </w:rPr>
              <w:t>Обеспечение прав граждан по оформлению в установленном законодательством Российской Федерации порядке права собственности на земельные участки сельхоз назначения</w:t>
            </w:r>
          </w:p>
        </w:tc>
        <w:tc>
          <w:tcPr>
            <w:tcW w:w="2099"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w:t>
            </w:r>
          </w:p>
        </w:tc>
        <w:tc>
          <w:tcPr>
            <w:tcW w:w="2350"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85</w:t>
            </w:r>
          </w:p>
        </w:tc>
        <w:tc>
          <w:tcPr>
            <w:tcW w:w="2311" w:type="dxa"/>
            <w:tcBorders>
              <w:top w:val="single" w:sz="4" w:space="0" w:color="auto"/>
              <w:left w:val="single" w:sz="4" w:space="0" w:color="auto"/>
              <w:bottom w:val="single" w:sz="4" w:space="0" w:color="auto"/>
              <w:right w:val="single" w:sz="4" w:space="0" w:color="auto"/>
            </w:tcBorders>
            <w:hideMark/>
          </w:tcPr>
          <w:p w:rsidR="00CC5A9F" w:rsidRDefault="00CC5A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100,0</w:t>
            </w:r>
          </w:p>
        </w:tc>
      </w:tr>
    </w:tbl>
    <w:p w:rsidR="00CC5A9F" w:rsidRDefault="00CC5A9F" w:rsidP="00CC5A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5. Оценка рисков реализации ведомственной целевой программы и механизмы их минимизации</w:t>
      </w:r>
    </w:p>
    <w:p w:rsidR="00CC5A9F" w:rsidRDefault="00CC5A9F" w:rsidP="00CC5A9F">
      <w:pPr>
        <w:spacing w:after="0" w:line="240" w:lineRule="auto"/>
        <w:jc w:val="center"/>
        <w:rPr>
          <w:rFonts w:ascii="Times New Roman" w:hAnsi="Times New Roman" w:cs="Times New Roman"/>
          <w:sz w:val="28"/>
          <w:szCs w:val="28"/>
        </w:rPr>
      </w:pPr>
    </w:p>
    <w:p w:rsidR="00CC5A9F" w:rsidRDefault="00CC5A9F" w:rsidP="00CC5A9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Таблица 3. Оценка рисков реализации программы и механизмы их минимизации</w:t>
      </w:r>
    </w:p>
    <w:p w:rsidR="00CC5A9F" w:rsidRDefault="00CC5A9F" w:rsidP="00CC5A9F">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3"/>
        <w:gridCol w:w="4941"/>
      </w:tblGrid>
      <w:tr w:rsidR="00CC5A9F" w:rsidTr="00CC5A9F">
        <w:trPr>
          <w:trHeight w:val="20"/>
        </w:trPr>
        <w:tc>
          <w:tcPr>
            <w:tcW w:w="4965" w:type="dxa"/>
            <w:tcBorders>
              <w:top w:val="single" w:sz="4" w:space="0" w:color="auto"/>
              <w:left w:val="single" w:sz="4" w:space="0" w:color="auto"/>
              <w:bottom w:val="single" w:sz="4" w:space="0" w:color="auto"/>
              <w:right w:val="single" w:sz="4" w:space="0" w:color="auto"/>
            </w:tcBorders>
            <w:hideMark/>
          </w:tcPr>
          <w:p w:rsidR="00CC5A9F" w:rsidRDefault="00CC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Внешний фактор, который может повлиять на реализацию программы</w:t>
            </w:r>
          </w:p>
        </w:tc>
        <w:tc>
          <w:tcPr>
            <w:tcW w:w="4995" w:type="dxa"/>
            <w:tcBorders>
              <w:top w:val="single" w:sz="4" w:space="0" w:color="auto"/>
              <w:left w:val="single" w:sz="4" w:space="0" w:color="auto"/>
              <w:bottom w:val="single" w:sz="4" w:space="0" w:color="auto"/>
              <w:right w:val="single" w:sz="4" w:space="0" w:color="auto"/>
            </w:tcBorders>
            <w:hideMark/>
          </w:tcPr>
          <w:p w:rsidR="00CC5A9F" w:rsidRDefault="00CC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Механизм минимизации негативного влияния внешних факторов</w:t>
            </w:r>
          </w:p>
        </w:tc>
      </w:tr>
      <w:tr w:rsidR="00CC5A9F" w:rsidTr="00CC5A9F">
        <w:trPr>
          <w:trHeight w:val="20"/>
        </w:trPr>
        <w:tc>
          <w:tcPr>
            <w:tcW w:w="4965" w:type="dxa"/>
            <w:tcBorders>
              <w:top w:val="single" w:sz="4" w:space="0" w:color="auto"/>
              <w:left w:val="single" w:sz="4" w:space="0" w:color="auto"/>
              <w:bottom w:val="single" w:sz="4" w:space="0" w:color="auto"/>
              <w:right w:val="single" w:sz="4" w:space="0" w:color="auto"/>
            </w:tcBorders>
            <w:hideMark/>
          </w:tcPr>
          <w:p w:rsidR="00CC5A9F" w:rsidRDefault="00CC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Действие обстоятельств непреодолимой силы</w:t>
            </w:r>
          </w:p>
        </w:tc>
        <w:tc>
          <w:tcPr>
            <w:tcW w:w="4995" w:type="dxa"/>
            <w:tcBorders>
              <w:top w:val="single" w:sz="4" w:space="0" w:color="auto"/>
              <w:left w:val="single" w:sz="4" w:space="0" w:color="auto"/>
              <w:bottom w:val="single" w:sz="4" w:space="0" w:color="auto"/>
              <w:right w:val="single" w:sz="4" w:space="0" w:color="auto"/>
            </w:tcBorders>
            <w:hideMark/>
          </w:tcPr>
          <w:p w:rsidR="00CC5A9F" w:rsidRDefault="00CC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Оперативное реагирование органов местного самоуправления на такие обстоятельства</w:t>
            </w:r>
          </w:p>
        </w:tc>
      </w:tr>
      <w:tr w:rsidR="00CC5A9F" w:rsidTr="00CC5A9F">
        <w:trPr>
          <w:trHeight w:val="20"/>
        </w:trPr>
        <w:tc>
          <w:tcPr>
            <w:tcW w:w="4965" w:type="dxa"/>
            <w:tcBorders>
              <w:top w:val="single" w:sz="4" w:space="0" w:color="auto"/>
              <w:left w:val="single" w:sz="4" w:space="0" w:color="auto"/>
              <w:bottom w:val="single" w:sz="4" w:space="0" w:color="auto"/>
              <w:right w:val="single" w:sz="4" w:space="0" w:color="auto"/>
            </w:tcBorders>
            <w:hideMark/>
          </w:tcPr>
          <w:p w:rsidR="00CC5A9F" w:rsidRDefault="00CC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Изменение федерального законодательства</w:t>
            </w:r>
          </w:p>
        </w:tc>
        <w:tc>
          <w:tcPr>
            <w:tcW w:w="4995" w:type="dxa"/>
            <w:tcBorders>
              <w:top w:val="single" w:sz="4" w:space="0" w:color="auto"/>
              <w:left w:val="single" w:sz="4" w:space="0" w:color="auto"/>
              <w:bottom w:val="single" w:sz="4" w:space="0" w:color="auto"/>
              <w:right w:val="single" w:sz="4" w:space="0" w:color="auto"/>
            </w:tcBorders>
            <w:hideMark/>
          </w:tcPr>
          <w:p w:rsidR="00CC5A9F" w:rsidRDefault="00CC5A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Оперативное реагирование</w:t>
            </w:r>
          </w:p>
        </w:tc>
      </w:tr>
    </w:tbl>
    <w:p w:rsidR="00CC5A9F" w:rsidRDefault="00CC5A9F" w:rsidP="00CC5A9F">
      <w:pPr>
        <w:spacing w:after="0" w:line="240" w:lineRule="auto"/>
        <w:jc w:val="both"/>
        <w:rPr>
          <w:rFonts w:ascii="Times New Roman" w:hAnsi="Times New Roman" w:cs="Times New Roman"/>
          <w:sz w:val="28"/>
          <w:szCs w:val="28"/>
        </w:rPr>
      </w:pPr>
    </w:p>
    <w:p w:rsidR="00CC5A9F" w:rsidRDefault="00CC5A9F" w:rsidP="00CC5A9F">
      <w:pPr>
        <w:spacing w:after="0" w:line="240" w:lineRule="auto"/>
        <w:jc w:val="both"/>
        <w:rPr>
          <w:rFonts w:ascii="Times New Roman" w:hAnsi="Times New Roman" w:cs="Times New Roman"/>
          <w:sz w:val="28"/>
          <w:szCs w:val="28"/>
        </w:rPr>
      </w:pPr>
    </w:p>
    <w:p w:rsidR="00CC5A9F" w:rsidRDefault="00CC5A9F" w:rsidP="00CC5A9F">
      <w:pPr>
        <w:spacing w:after="0" w:line="240" w:lineRule="auto"/>
        <w:jc w:val="both"/>
        <w:rPr>
          <w:rFonts w:ascii="Times New Roman" w:hAnsi="Times New Roman" w:cs="Times New Roman"/>
          <w:sz w:val="28"/>
          <w:szCs w:val="28"/>
        </w:rPr>
      </w:pPr>
    </w:p>
    <w:p w:rsidR="00CC5A9F" w:rsidRDefault="00CC5A9F" w:rsidP="00CC5A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Заместитель главы Переясловского</w:t>
      </w:r>
    </w:p>
    <w:p w:rsidR="00CC5A9F" w:rsidRDefault="00CC5A9F" w:rsidP="00CC5A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сельского поселения</w:t>
      </w:r>
    </w:p>
    <w:p w:rsidR="00CC5A9F" w:rsidRDefault="00CC5A9F" w:rsidP="00CC5A9F">
      <w:pPr>
        <w:tabs>
          <w:tab w:val="right" w:pos="9638"/>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Брюховецкого района</w:t>
      </w:r>
      <w:r>
        <w:rPr>
          <w:rFonts w:ascii="Times New Roman" w:hAnsi="Times New Roman" w:cs="Times New Roman"/>
          <w:sz w:val="28"/>
          <w:szCs w:val="28"/>
        </w:rPr>
        <w:tab/>
        <w:t>О.А. Компаниец</w:t>
      </w:r>
    </w:p>
    <w:p w:rsidR="00EA0953" w:rsidRDefault="00EA0953" w:rsidP="00EA0953">
      <w:pPr>
        <w:tabs>
          <w:tab w:val="right" w:pos="9638"/>
        </w:tabs>
        <w:spacing w:after="0" w:line="240" w:lineRule="auto"/>
        <w:jc w:val="both"/>
        <w:rPr>
          <w:rFonts w:ascii="Times New Roman" w:hAnsi="Times New Roman" w:cs="Times New Roman"/>
          <w:sz w:val="28"/>
          <w:szCs w:val="28"/>
        </w:rPr>
      </w:pPr>
      <w:bookmarkStart w:id="0" w:name="_GoBack"/>
      <w:bookmarkEnd w:id="0"/>
    </w:p>
    <w:sectPr w:rsidR="00EA0953" w:rsidSect="00D5215C">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D23" w:rsidRDefault="00886D23" w:rsidP="00D5215C">
      <w:pPr>
        <w:spacing w:after="0" w:line="240" w:lineRule="auto"/>
      </w:pPr>
      <w:r>
        <w:separator/>
      </w:r>
    </w:p>
  </w:endnote>
  <w:endnote w:type="continuationSeparator" w:id="0">
    <w:p w:rsidR="00886D23" w:rsidRDefault="00886D23" w:rsidP="00D52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D23" w:rsidRDefault="00886D23" w:rsidP="00D5215C">
      <w:pPr>
        <w:spacing w:after="0" w:line="240" w:lineRule="auto"/>
      </w:pPr>
      <w:r>
        <w:separator/>
      </w:r>
    </w:p>
  </w:footnote>
  <w:footnote w:type="continuationSeparator" w:id="0">
    <w:p w:rsidR="00886D23" w:rsidRDefault="00886D23" w:rsidP="00D52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669340"/>
      <w:docPartObj>
        <w:docPartGallery w:val="Page Numbers (Top of Page)"/>
        <w:docPartUnique/>
      </w:docPartObj>
    </w:sdtPr>
    <w:sdtEndPr/>
    <w:sdtContent>
      <w:p w:rsidR="00D5215C" w:rsidRDefault="00D5215C" w:rsidP="00D5215C">
        <w:pPr>
          <w:pStyle w:val="a5"/>
          <w:jc w:val="center"/>
        </w:pPr>
        <w:r>
          <w:fldChar w:fldCharType="begin"/>
        </w:r>
        <w:r>
          <w:instrText>PAGE   \* MERGEFORMAT</w:instrText>
        </w:r>
        <w:r>
          <w:fldChar w:fldCharType="separate"/>
        </w:r>
        <w:r w:rsidR="00833D01">
          <w:rPr>
            <w:noProof/>
          </w:rPr>
          <w:t>6</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1CF4"/>
    <w:multiLevelType w:val="multilevel"/>
    <w:tmpl w:val="C568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53B20"/>
    <w:multiLevelType w:val="multilevel"/>
    <w:tmpl w:val="0868C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F1BF8"/>
    <w:multiLevelType w:val="multilevel"/>
    <w:tmpl w:val="45C60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30A52"/>
    <w:multiLevelType w:val="multilevel"/>
    <w:tmpl w:val="5C688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7761A"/>
    <w:multiLevelType w:val="multilevel"/>
    <w:tmpl w:val="2940C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752D9"/>
    <w:multiLevelType w:val="multilevel"/>
    <w:tmpl w:val="2050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25CA3"/>
    <w:multiLevelType w:val="multilevel"/>
    <w:tmpl w:val="54FA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816FC"/>
    <w:multiLevelType w:val="multilevel"/>
    <w:tmpl w:val="10EE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A34B1D"/>
    <w:multiLevelType w:val="multilevel"/>
    <w:tmpl w:val="AAD67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3F79CD"/>
    <w:multiLevelType w:val="multilevel"/>
    <w:tmpl w:val="1CC65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8"/>
  </w:num>
  <w:num w:numId="5">
    <w:abstractNumId w:val="6"/>
  </w:num>
  <w:num w:numId="6">
    <w:abstractNumId w:val="2"/>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C3"/>
    <w:rsid w:val="0002523C"/>
    <w:rsid w:val="001925FF"/>
    <w:rsid w:val="0021490D"/>
    <w:rsid w:val="00292E0C"/>
    <w:rsid w:val="002951D8"/>
    <w:rsid w:val="002C413F"/>
    <w:rsid w:val="00417E3C"/>
    <w:rsid w:val="006D0427"/>
    <w:rsid w:val="00776D49"/>
    <w:rsid w:val="00833D01"/>
    <w:rsid w:val="00886D23"/>
    <w:rsid w:val="009D38C3"/>
    <w:rsid w:val="009F4580"/>
    <w:rsid w:val="00A25572"/>
    <w:rsid w:val="00B1179F"/>
    <w:rsid w:val="00B641DB"/>
    <w:rsid w:val="00CB6FD8"/>
    <w:rsid w:val="00CC5A9F"/>
    <w:rsid w:val="00D14868"/>
    <w:rsid w:val="00D5215C"/>
    <w:rsid w:val="00D92356"/>
    <w:rsid w:val="00DF3419"/>
    <w:rsid w:val="00E01C1A"/>
    <w:rsid w:val="00E0726D"/>
    <w:rsid w:val="00E52DF3"/>
    <w:rsid w:val="00EA0953"/>
    <w:rsid w:val="00ED1B58"/>
    <w:rsid w:val="00F16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A0953"/>
    <w:rPr>
      <w:sz w:val="28"/>
    </w:rPr>
  </w:style>
  <w:style w:type="paragraph" w:styleId="a4">
    <w:name w:val="No Spacing"/>
    <w:link w:val="a3"/>
    <w:uiPriority w:val="1"/>
    <w:qFormat/>
    <w:rsid w:val="00EA0953"/>
    <w:pPr>
      <w:spacing w:after="0" w:line="240" w:lineRule="auto"/>
    </w:pPr>
    <w:rPr>
      <w:sz w:val="28"/>
    </w:rPr>
  </w:style>
  <w:style w:type="paragraph" w:styleId="a5">
    <w:name w:val="header"/>
    <w:basedOn w:val="a"/>
    <w:link w:val="a6"/>
    <w:uiPriority w:val="99"/>
    <w:unhideWhenUsed/>
    <w:rsid w:val="00D521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215C"/>
  </w:style>
  <w:style w:type="paragraph" w:styleId="a7">
    <w:name w:val="footer"/>
    <w:basedOn w:val="a"/>
    <w:link w:val="a8"/>
    <w:uiPriority w:val="99"/>
    <w:unhideWhenUsed/>
    <w:rsid w:val="00D521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215C"/>
  </w:style>
  <w:style w:type="paragraph" w:styleId="a9">
    <w:name w:val="Balloon Text"/>
    <w:basedOn w:val="a"/>
    <w:link w:val="aa"/>
    <w:uiPriority w:val="99"/>
    <w:semiHidden/>
    <w:unhideWhenUsed/>
    <w:rsid w:val="00A255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5572"/>
    <w:rPr>
      <w:rFonts w:ascii="Tahoma" w:hAnsi="Tahoma" w:cs="Tahoma"/>
      <w:sz w:val="16"/>
      <w:szCs w:val="16"/>
    </w:rPr>
  </w:style>
  <w:style w:type="paragraph" w:styleId="ab">
    <w:name w:val="Normal (Web)"/>
    <w:basedOn w:val="a"/>
    <w:semiHidden/>
    <w:unhideWhenUsed/>
    <w:rsid w:val="00CC5A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CC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EA0953"/>
    <w:rPr>
      <w:sz w:val="28"/>
    </w:rPr>
  </w:style>
  <w:style w:type="paragraph" w:styleId="a4">
    <w:name w:val="No Spacing"/>
    <w:link w:val="a3"/>
    <w:uiPriority w:val="1"/>
    <w:qFormat/>
    <w:rsid w:val="00EA0953"/>
    <w:pPr>
      <w:spacing w:after="0" w:line="240" w:lineRule="auto"/>
    </w:pPr>
    <w:rPr>
      <w:sz w:val="28"/>
    </w:rPr>
  </w:style>
  <w:style w:type="paragraph" w:styleId="a5">
    <w:name w:val="header"/>
    <w:basedOn w:val="a"/>
    <w:link w:val="a6"/>
    <w:uiPriority w:val="99"/>
    <w:unhideWhenUsed/>
    <w:rsid w:val="00D521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5215C"/>
  </w:style>
  <w:style w:type="paragraph" w:styleId="a7">
    <w:name w:val="footer"/>
    <w:basedOn w:val="a"/>
    <w:link w:val="a8"/>
    <w:uiPriority w:val="99"/>
    <w:unhideWhenUsed/>
    <w:rsid w:val="00D521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5215C"/>
  </w:style>
  <w:style w:type="paragraph" w:styleId="a9">
    <w:name w:val="Balloon Text"/>
    <w:basedOn w:val="a"/>
    <w:link w:val="aa"/>
    <w:uiPriority w:val="99"/>
    <w:semiHidden/>
    <w:unhideWhenUsed/>
    <w:rsid w:val="00A2557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25572"/>
    <w:rPr>
      <w:rFonts w:ascii="Tahoma" w:hAnsi="Tahoma" w:cs="Tahoma"/>
      <w:sz w:val="16"/>
      <w:szCs w:val="16"/>
    </w:rPr>
  </w:style>
  <w:style w:type="paragraph" w:styleId="ab">
    <w:name w:val="Normal (Web)"/>
    <w:basedOn w:val="a"/>
    <w:semiHidden/>
    <w:unhideWhenUsed/>
    <w:rsid w:val="00CC5A9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CC5A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543596">
      <w:bodyDiv w:val="1"/>
      <w:marLeft w:val="0"/>
      <w:marRight w:val="0"/>
      <w:marTop w:val="0"/>
      <w:marBottom w:val="0"/>
      <w:divBdr>
        <w:top w:val="none" w:sz="0" w:space="0" w:color="auto"/>
        <w:left w:val="none" w:sz="0" w:space="0" w:color="auto"/>
        <w:bottom w:val="none" w:sz="0" w:space="0" w:color="auto"/>
        <w:right w:val="none" w:sz="0" w:space="0" w:color="auto"/>
      </w:divBdr>
    </w:div>
    <w:div w:id="173959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6</Pages>
  <Words>1450</Words>
  <Characters>8266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Ольга Анатольевна</cp:lastModifiedBy>
  <cp:revision>19</cp:revision>
  <cp:lastPrinted>2018-10-24T08:18:00Z</cp:lastPrinted>
  <dcterms:created xsi:type="dcterms:W3CDTF">2016-07-19T10:38:00Z</dcterms:created>
  <dcterms:modified xsi:type="dcterms:W3CDTF">2018-11-06T07:45:00Z</dcterms:modified>
</cp:coreProperties>
</file>